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6A280D73"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w:t>
      </w:r>
      <w:r w:rsidR="00E74577">
        <w:rPr>
          <w:rFonts w:ascii="Times New Roman" w:hAnsi="Times New Roman" w:cs="Times New Roman"/>
          <w:b/>
          <w:color w:val="000000" w:themeColor="text1"/>
          <w:sz w:val="24"/>
          <w:szCs w:val="24"/>
        </w:rPr>
        <w:t>U PROJEKTS</w:t>
      </w:r>
      <w:r w:rsidR="00C925EE">
        <w:rPr>
          <w:rFonts w:ascii="Times New Roman" w:hAnsi="Times New Roman" w:cs="Times New Roman"/>
          <w:b/>
          <w:color w:val="000000" w:themeColor="text1"/>
          <w:sz w:val="24"/>
          <w:szCs w:val="24"/>
        </w:rPr>
        <w:t xml:space="preserve"> </w:t>
      </w:r>
    </w:p>
    <w:p w14:paraId="55D9AA02" w14:textId="553ADE22" w:rsidR="00CC193D" w:rsidRDefault="00CC193D" w:rsidP="00AE1821">
      <w:pPr>
        <w:jc w:val="center"/>
        <w:rPr>
          <w:rFonts w:ascii="Times New Roman" w:hAnsi="Times New Roman" w:cs="Times New Roman"/>
          <w:i/>
          <w:color w:val="000000" w:themeColor="text1"/>
          <w:sz w:val="24"/>
          <w:szCs w:val="24"/>
        </w:rPr>
      </w:pPr>
      <w:r w:rsidRPr="00CC193D">
        <w:rPr>
          <w:rFonts w:ascii="Times New Roman" w:hAnsi="Times New Roman" w:cs="Times New Roman"/>
          <w:i/>
          <w:color w:val="000000" w:themeColor="text1"/>
          <w:sz w:val="24"/>
          <w:szCs w:val="24"/>
        </w:rPr>
        <w:t>Apmācību programmas „Pilngadīgu personu ar garīga rakstura traucējumiem sagatavošana pārejai uz dzīvi sabiedrībā” izstrāde</w:t>
      </w:r>
      <w:r w:rsidR="00AE1821">
        <w:rPr>
          <w:rFonts w:ascii="Times New Roman" w:hAnsi="Times New Roman" w:cs="Times New Roman"/>
          <w:i/>
          <w:color w:val="000000" w:themeColor="text1"/>
          <w:sz w:val="24"/>
          <w:szCs w:val="24"/>
        </w:rPr>
        <w:t>i</w:t>
      </w:r>
    </w:p>
    <w:p w14:paraId="4F78E2A5" w14:textId="77777777" w:rsidR="00107651" w:rsidRDefault="00B650D9" w:rsidP="00107651">
      <w:pPr>
        <w:pStyle w:val="Sarakstarindkopa"/>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107651">
        <w:rPr>
          <w:rFonts w:ascii="Times New Roman" w:hAnsi="Times New Roman"/>
          <w:b/>
          <w:sz w:val="24"/>
          <w:szCs w:val="24"/>
        </w:rPr>
        <w:t>I</w:t>
      </w:r>
    </w:p>
    <w:p w14:paraId="7CAC8099" w14:textId="19381660" w:rsidR="00B650D9" w:rsidRPr="00107651" w:rsidRDefault="00B650D9" w:rsidP="00107651">
      <w:pPr>
        <w:pStyle w:val="Sarakstarindkopa"/>
        <w:numPr>
          <w:ilvl w:val="1"/>
          <w:numId w:val="2"/>
        </w:numPr>
        <w:spacing w:after="120" w:line="240" w:lineRule="auto"/>
        <w:ind w:left="714" w:hanging="357"/>
        <w:contextualSpacing w:val="0"/>
        <w:jc w:val="both"/>
        <w:rPr>
          <w:rFonts w:ascii="Times New Roman" w:hAnsi="Times New Roman"/>
          <w:b/>
          <w:sz w:val="24"/>
          <w:szCs w:val="24"/>
        </w:rPr>
      </w:pPr>
      <w:r w:rsidRPr="00107651">
        <w:rPr>
          <w:rFonts w:ascii="Times New Roman" w:hAnsi="Times New Roman"/>
          <w:b/>
          <w:sz w:val="24"/>
          <w:szCs w:val="24"/>
        </w:rPr>
        <w:t xml:space="preserve"> </w:t>
      </w:r>
      <w:r w:rsidR="00543D61">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60192C65"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Avotu iela 12, Saldus, 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28514ACD" w14:textId="1D98DD14" w:rsidR="00AE1821" w:rsidRPr="00AE1821" w:rsidRDefault="00AE1821" w:rsidP="00D973F2">
            <w:pPr>
              <w:snapToGrid w:val="0"/>
              <w:spacing w:after="120" w:line="240" w:lineRule="auto"/>
              <w:jc w:val="both"/>
              <w:rPr>
                <w:rFonts w:ascii="Times New Roman" w:hAnsi="Times New Roman" w:cs="Times New Roman"/>
                <w:sz w:val="24"/>
                <w:szCs w:val="24"/>
              </w:rPr>
            </w:pPr>
          </w:p>
        </w:tc>
      </w:tr>
    </w:tbl>
    <w:p w14:paraId="1292F847" w14:textId="381FF173" w:rsidR="00E15A21" w:rsidRPr="00CF0094" w:rsidRDefault="00D40265" w:rsidP="00D973F2">
      <w:pPr>
        <w:pStyle w:val="Sarakstarindkopa"/>
        <w:numPr>
          <w:ilvl w:val="1"/>
          <w:numId w:val="2"/>
        </w:numPr>
        <w:spacing w:before="120"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 xml:space="preserve"> </w:t>
      </w:r>
      <w:r w:rsidR="00E15A21" w:rsidRPr="00CF0094">
        <w:rPr>
          <w:rFonts w:ascii="Times New Roman" w:hAnsi="Times New Roman"/>
          <w:b/>
          <w:sz w:val="24"/>
          <w:szCs w:val="24"/>
        </w:rPr>
        <w:t>Pasūtītāji, kuru vārdā un uzdevumā tiek rīkot</w:t>
      </w:r>
      <w:r w:rsidR="00543D61">
        <w:rPr>
          <w:rFonts w:ascii="Times New Roman" w:hAnsi="Times New Roman"/>
          <w:b/>
          <w:sz w:val="24"/>
          <w:szCs w:val="24"/>
        </w:rPr>
        <w:t>a tirgus izpēte</w:t>
      </w:r>
      <w:r w:rsidR="00E15A21" w:rsidRPr="00CF0094">
        <w:rPr>
          <w:rFonts w:ascii="Times New Roman" w:hAnsi="Times New Roman"/>
          <w:b/>
          <w:sz w:val="24"/>
          <w:szCs w:val="24"/>
        </w:rPr>
        <w:t xml:space="preserve"> </w:t>
      </w:r>
    </w:p>
    <w:p w14:paraId="2F105D4D" w14:textId="77777777" w:rsidR="00715F11" w:rsidRDefault="00715F11" w:rsidP="00715F11">
      <w:pPr>
        <w:pStyle w:val="Sarakstarindkopa"/>
        <w:numPr>
          <w:ilvl w:val="2"/>
          <w:numId w:val="2"/>
        </w:numPr>
        <w:spacing w:after="12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Kurzemes plānošanas reģions;</w:t>
      </w:r>
    </w:p>
    <w:p w14:paraId="7E9D1E7A" w14:textId="6648CA0F" w:rsidR="00715F11" w:rsidRDefault="00715F11" w:rsidP="002602FA">
      <w:pPr>
        <w:pStyle w:val="Sarakstarindkopa"/>
        <w:numPr>
          <w:ilvl w:val="2"/>
          <w:numId w:val="2"/>
        </w:numPr>
        <w:spacing w:after="120" w:line="240" w:lineRule="auto"/>
        <w:contextualSpacing w:val="0"/>
        <w:rPr>
          <w:rFonts w:ascii="Times New Roman" w:hAnsi="Times New Roman" w:cs="Times New Roman"/>
          <w:color w:val="000000" w:themeColor="text1"/>
          <w:sz w:val="24"/>
          <w:szCs w:val="24"/>
        </w:rPr>
      </w:pPr>
      <w:r w:rsidRPr="00715F11">
        <w:rPr>
          <w:rFonts w:ascii="Times New Roman" w:hAnsi="Times New Roman" w:cs="Times New Roman"/>
          <w:color w:val="000000" w:themeColor="text1"/>
          <w:sz w:val="24"/>
          <w:szCs w:val="24"/>
        </w:rPr>
        <w:t>Latgales plānošanas reģions</w:t>
      </w:r>
      <w:r>
        <w:rPr>
          <w:rFonts w:ascii="Times New Roman" w:hAnsi="Times New Roman" w:cs="Times New Roman"/>
          <w:color w:val="000000" w:themeColor="text1"/>
          <w:sz w:val="24"/>
          <w:szCs w:val="24"/>
        </w:rPr>
        <w:t>;</w:t>
      </w:r>
      <w:r w:rsidRPr="00715F11">
        <w:rPr>
          <w:rFonts w:ascii="Times New Roman" w:hAnsi="Times New Roman" w:cs="Times New Roman"/>
          <w:color w:val="000000" w:themeColor="text1"/>
          <w:sz w:val="24"/>
          <w:szCs w:val="24"/>
        </w:rPr>
        <w:t xml:space="preserve"> </w:t>
      </w:r>
    </w:p>
    <w:p w14:paraId="78DDCB8A" w14:textId="4E967F43" w:rsidR="00715F11" w:rsidRPr="00715F11" w:rsidRDefault="00715F11" w:rsidP="002602FA">
      <w:pPr>
        <w:pStyle w:val="Sarakstarindkopa"/>
        <w:numPr>
          <w:ilvl w:val="2"/>
          <w:numId w:val="2"/>
        </w:numPr>
        <w:spacing w:after="120" w:line="240" w:lineRule="auto"/>
        <w:contextualSpacing w:val="0"/>
        <w:rPr>
          <w:rFonts w:ascii="Times New Roman" w:hAnsi="Times New Roman" w:cs="Times New Roman"/>
          <w:color w:val="000000" w:themeColor="text1"/>
          <w:sz w:val="24"/>
          <w:szCs w:val="24"/>
        </w:rPr>
      </w:pPr>
      <w:r w:rsidRPr="00715F11">
        <w:rPr>
          <w:rFonts w:ascii="Times New Roman" w:hAnsi="Times New Roman" w:cs="Times New Roman"/>
          <w:color w:val="000000" w:themeColor="text1"/>
          <w:sz w:val="24"/>
          <w:szCs w:val="24"/>
        </w:rPr>
        <w:t>Rīgas plānošanas reģions;</w:t>
      </w:r>
    </w:p>
    <w:p w14:paraId="6FD664B7" w14:textId="77777777" w:rsidR="00715F11" w:rsidRDefault="00715F11" w:rsidP="00715F11">
      <w:pPr>
        <w:pStyle w:val="Sarakstarindkopa"/>
        <w:numPr>
          <w:ilvl w:val="2"/>
          <w:numId w:val="2"/>
        </w:numPr>
        <w:spacing w:after="12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Vidzemes plānošanas reģions;</w:t>
      </w:r>
    </w:p>
    <w:p w14:paraId="0EE2BCCA" w14:textId="74D99AC5" w:rsidR="00715F11" w:rsidRDefault="00715F11" w:rsidP="00715F11">
      <w:pPr>
        <w:pStyle w:val="Sarakstarindkopa"/>
        <w:numPr>
          <w:ilvl w:val="2"/>
          <w:numId w:val="2"/>
        </w:numPr>
        <w:spacing w:after="12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Zemgales plānošanas reģions.</w:t>
      </w:r>
    </w:p>
    <w:p w14:paraId="1D699B4A" w14:textId="61A55A1F" w:rsidR="00B650D9" w:rsidRPr="00F406A6" w:rsidRDefault="00433163"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6CD87E4D" w:rsidR="00562D9C" w:rsidRDefault="00562D9C" w:rsidP="009149CC">
      <w:pPr>
        <w:pStyle w:val="Sarakstarindkopa"/>
        <w:numPr>
          <w:ilvl w:val="1"/>
          <w:numId w:val="2"/>
        </w:numPr>
        <w:spacing w:after="120" w:line="240" w:lineRule="auto"/>
        <w:ind w:left="851" w:hanging="567"/>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w:t>
      </w:r>
      <w:r w:rsidRPr="00562D9C">
        <w:rPr>
          <w:rFonts w:ascii="Times New Roman" w:hAnsi="Times New Roman" w:cs="Times New Roman"/>
          <w:color w:val="000000" w:themeColor="text1"/>
          <w:sz w:val="24"/>
          <w:szCs w:val="24"/>
        </w:rPr>
        <w:t xml:space="preserve"> priekšmets ir </w:t>
      </w:r>
      <w:bookmarkStart w:id="0" w:name="_Hlk536569510"/>
      <w:r w:rsidR="009149CC" w:rsidRPr="009149CC">
        <w:rPr>
          <w:rFonts w:ascii="Times New Roman" w:hAnsi="Times New Roman" w:cs="Times New Roman"/>
          <w:color w:val="000000" w:themeColor="text1"/>
          <w:sz w:val="24"/>
          <w:szCs w:val="24"/>
        </w:rPr>
        <w:t>apmācību programmas „Pilngadīgu personu ar garīga rakstura traucējumiem (turpmāk - GRT) sagatavošana pārejai uz dzīvi sabiedrībā” un mācību materiālu izstrāde</w:t>
      </w:r>
      <w:bookmarkEnd w:id="0"/>
      <w:r w:rsidR="009149CC">
        <w:rPr>
          <w:rFonts w:ascii="Times New Roman" w:hAnsi="Times New Roman" w:cs="Times New Roman"/>
          <w:color w:val="000000" w:themeColor="text1"/>
          <w:sz w:val="24"/>
          <w:szCs w:val="24"/>
        </w:rPr>
        <w:t xml:space="preserve"> </w:t>
      </w:r>
      <w:r w:rsidRPr="00562D9C">
        <w:rPr>
          <w:rFonts w:ascii="Times New Roman" w:hAnsi="Times New Roman" w:cs="Times New Roman"/>
          <w:color w:val="000000" w:themeColor="text1"/>
          <w:sz w:val="24"/>
          <w:szCs w:val="24"/>
        </w:rPr>
        <w:t>(turpmāk – Iepirkuma priekšmets).</w:t>
      </w:r>
    </w:p>
    <w:p w14:paraId="5B2E2E1F" w14:textId="3A83A821" w:rsidR="00562D9C" w:rsidRDefault="00562D9C" w:rsidP="00CD2A0E">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 xml:space="preserve">Iepirkuma priekšmets ir aprakstīts </w:t>
      </w:r>
      <w:r w:rsidR="00CD2A0E">
        <w:rPr>
          <w:rFonts w:ascii="Times New Roman" w:hAnsi="Times New Roman" w:cs="Times New Roman"/>
          <w:color w:val="000000" w:themeColor="text1"/>
          <w:sz w:val="24"/>
          <w:szCs w:val="24"/>
        </w:rPr>
        <w:t>tirgus izpētes noteikumu</w:t>
      </w:r>
      <w:r w:rsidRPr="00562D9C">
        <w:rPr>
          <w:rFonts w:ascii="Times New Roman" w:hAnsi="Times New Roman" w:cs="Times New Roman"/>
          <w:color w:val="000000" w:themeColor="text1"/>
          <w:sz w:val="24"/>
          <w:szCs w:val="24"/>
        </w:rPr>
        <w:t xml:space="preserve"> (turpmāk – </w:t>
      </w:r>
      <w:r w:rsidR="00CD2A0E">
        <w:rPr>
          <w:rFonts w:ascii="Times New Roman" w:hAnsi="Times New Roman" w:cs="Times New Roman"/>
          <w:color w:val="000000" w:themeColor="text1"/>
          <w:sz w:val="24"/>
          <w:szCs w:val="24"/>
        </w:rPr>
        <w:t>noteikumi</w:t>
      </w:r>
      <w:r w:rsidRPr="00562D9C">
        <w:rPr>
          <w:rFonts w:ascii="Times New Roman" w:hAnsi="Times New Roman" w:cs="Times New Roman"/>
          <w:color w:val="000000" w:themeColor="text1"/>
          <w:sz w:val="24"/>
          <w:szCs w:val="24"/>
        </w:rPr>
        <w:t>) 1.pielikumā „Tehniskā specifikācija”.</w:t>
      </w:r>
    </w:p>
    <w:p w14:paraId="416420C9" w14:textId="77777777" w:rsidR="00E67778" w:rsidRDefault="00562D9C" w:rsidP="009149CC">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Iepirkum</w:t>
      </w:r>
      <w:r w:rsidR="00E67778">
        <w:rPr>
          <w:rFonts w:ascii="Times New Roman" w:hAnsi="Times New Roman" w:cs="Times New Roman"/>
          <w:color w:val="000000" w:themeColor="text1"/>
          <w:sz w:val="24"/>
          <w:szCs w:val="24"/>
        </w:rPr>
        <w:t>a priekšmets</w:t>
      </w:r>
      <w:r w:rsidRPr="00562D9C">
        <w:rPr>
          <w:rFonts w:ascii="Times New Roman" w:hAnsi="Times New Roman" w:cs="Times New Roman"/>
          <w:color w:val="000000" w:themeColor="text1"/>
          <w:sz w:val="24"/>
          <w:szCs w:val="24"/>
        </w:rPr>
        <w:t xml:space="preserve"> tiek finansēts no </w:t>
      </w:r>
      <w:r w:rsidR="00E67778">
        <w:rPr>
          <w:rFonts w:ascii="Times New Roman" w:hAnsi="Times New Roman" w:cs="Times New Roman"/>
          <w:color w:val="000000" w:themeColor="text1"/>
          <w:sz w:val="24"/>
          <w:szCs w:val="24"/>
        </w:rPr>
        <w:t xml:space="preserve">šādu </w:t>
      </w:r>
      <w:r w:rsidRPr="00562D9C">
        <w:rPr>
          <w:rFonts w:ascii="Times New Roman" w:hAnsi="Times New Roman" w:cs="Times New Roman"/>
          <w:color w:val="000000" w:themeColor="text1"/>
          <w:sz w:val="24"/>
          <w:szCs w:val="24"/>
        </w:rPr>
        <w:t>projek</w:t>
      </w:r>
      <w:r w:rsidR="00E67778">
        <w:rPr>
          <w:rFonts w:ascii="Times New Roman" w:hAnsi="Times New Roman" w:cs="Times New Roman"/>
          <w:color w:val="000000" w:themeColor="text1"/>
          <w:sz w:val="24"/>
          <w:szCs w:val="24"/>
        </w:rPr>
        <w:t>tu līdzekļiem:</w:t>
      </w:r>
    </w:p>
    <w:p w14:paraId="1A280D9F" w14:textId="2AF052A7" w:rsidR="00B8100A" w:rsidRPr="0094503B" w:rsidRDefault="00B8100A" w:rsidP="00E67778">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94503B">
        <w:rPr>
          <w:rFonts w:ascii="Times New Roman" w:hAnsi="Times New Roman" w:cs="Times New Roman"/>
          <w:sz w:val="24"/>
          <w:szCs w:val="24"/>
        </w:rPr>
        <w:t>P</w:t>
      </w:r>
      <w:r w:rsidR="00E67778" w:rsidRPr="0094503B">
        <w:rPr>
          <w:rFonts w:ascii="Times New Roman" w:hAnsi="Times New Roman" w:cs="Times New Roman"/>
          <w:sz w:val="24"/>
          <w:szCs w:val="24"/>
        </w:rPr>
        <w:t>rojekt</w:t>
      </w:r>
      <w:r w:rsidRPr="0094503B">
        <w:rPr>
          <w:rFonts w:ascii="Times New Roman" w:hAnsi="Times New Roman" w:cs="Times New Roman"/>
          <w:sz w:val="24"/>
          <w:szCs w:val="24"/>
        </w:rPr>
        <w:t xml:space="preserve">s </w:t>
      </w:r>
      <w:r w:rsidR="00E67778" w:rsidRPr="0094503B">
        <w:rPr>
          <w:rFonts w:ascii="Times New Roman" w:hAnsi="Times New Roman" w:cs="Times New Roman"/>
          <w:sz w:val="24"/>
          <w:szCs w:val="24"/>
        </w:rPr>
        <w:t xml:space="preserve">“Atver sirdi Zemgalē”, </w:t>
      </w:r>
      <w:r w:rsidR="009D1E28" w:rsidRPr="0094503B">
        <w:rPr>
          <w:rFonts w:ascii="Times New Roman" w:hAnsi="Times New Roman" w:cs="Times New Roman"/>
          <w:sz w:val="24"/>
          <w:szCs w:val="24"/>
        </w:rPr>
        <w:t>projekta Nr. 9.2.2.1./15/I/001</w:t>
      </w:r>
      <w:r w:rsidR="00F00046" w:rsidRPr="0094503B">
        <w:rPr>
          <w:rFonts w:ascii="Times New Roman" w:hAnsi="Times New Roman" w:cs="Times New Roman"/>
          <w:sz w:val="24"/>
          <w:szCs w:val="24"/>
        </w:rPr>
        <w:t>;</w:t>
      </w:r>
    </w:p>
    <w:p w14:paraId="33C8FACE" w14:textId="5D7A0B9D" w:rsidR="00B8100A" w:rsidRPr="0094503B" w:rsidRDefault="00F00046" w:rsidP="00E67778">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94503B">
        <w:rPr>
          <w:rFonts w:ascii="Times New Roman" w:hAnsi="Times New Roman" w:cs="Times New Roman"/>
          <w:sz w:val="24"/>
          <w:szCs w:val="24"/>
        </w:rPr>
        <w:t xml:space="preserve">Projekts </w:t>
      </w:r>
      <w:r w:rsidR="00E67778" w:rsidRPr="0094503B">
        <w:rPr>
          <w:rFonts w:ascii="Times New Roman" w:hAnsi="Times New Roman" w:cs="Times New Roman"/>
          <w:sz w:val="24"/>
          <w:szCs w:val="24"/>
        </w:rPr>
        <w:t>“Deinstitucionalizācija un sociālie pakalpojumi personām ar invaliditāti un bērniem”</w:t>
      </w:r>
      <w:r w:rsidRPr="0094503B">
        <w:rPr>
          <w:rFonts w:ascii="Times New Roman" w:hAnsi="Times New Roman" w:cs="Times New Roman"/>
          <w:sz w:val="24"/>
          <w:szCs w:val="24"/>
        </w:rPr>
        <w:t>, projekta Nr. 9.2.2.1/15/I/002</w:t>
      </w:r>
      <w:r w:rsidR="00E67778" w:rsidRPr="0094503B">
        <w:rPr>
          <w:rFonts w:ascii="Times New Roman" w:hAnsi="Times New Roman" w:cs="Times New Roman"/>
          <w:sz w:val="24"/>
          <w:szCs w:val="24"/>
        </w:rPr>
        <w:t>;</w:t>
      </w:r>
    </w:p>
    <w:p w14:paraId="33B51D5F" w14:textId="69D82820" w:rsidR="00B34EA1" w:rsidRPr="0094503B" w:rsidRDefault="00B34EA1" w:rsidP="00B34EA1">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94503B">
        <w:rPr>
          <w:rFonts w:ascii="Times New Roman" w:hAnsi="Times New Roman" w:cs="Times New Roman"/>
          <w:sz w:val="24"/>
          <w:szCs w:val="24"/>
        </w:rPr>
        <w:t>Projekts “Vidzeme iekļauj”, projekta Nr. 9.2.2.1/15/I/003</w:t>
      </w:r>
      <w:r>
        <w:rPr>
          <w:rFonts w:ascii="Times New Roman" w:hAnsi="Times New Roman" w:cs="Times New Roman"/>
          <w:sz w:val="24"/>
          <w:szCs w:val="24"/>
        </w:rPr>
        <w:t>;</w:t>
      </w:r>
      <w:r w:rsidRPr="0094503B">
        <w:rPr>
          <w:rFonts w:ascii="Times New Roman" w:hAnsi="Times New Roman" w:cs="Times New Roman"/>
          <w:color w:val="000000" w:themeColor="text1"/>
          <w:sz w:val="24"/>
          <w:szCs w:val="24"/>
        </w:rPr>
        <w:t xml:space="preserve">  </w:t>
      </w:r>
    </w:p>
    <w:p w14:paraId="040D9F2C" w14:textId="2BED9CDA" w:rsidR="00B8100A" w:rsidRPr="0094503B" w:rsidRDefault="00F00046" w:rsidP="00E67778">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94503B">
        <w:rPr>
          <w:rFonts w:ascii="Times New Roman" w:hAnsi="Times New Roman" w:cs="Times New Roman"/>
          <w:sz w:val="24"/>
          <w:szCs w:val="24"/>
        </w:rPr>
        <w:t xml:space="preserve">Projekts </w:t>
      </w:r>
      <w:r w:rsidR="00E67778" w:rsidRPr="0094503B">
        <w:rPr>
          <w:rFonts w:ascii="Times New Roman" w:hAnsi="Times New Roman" w:cs="Times New Roman"/>
          <w:sz w:val="24"/>
          <w:szCs w:val="24"/>
        </w:rPr>
        <w:t>“Kurzeme visiem”</w:t>
      </w:r>
      <w:r w:rsidRPr="0094503B">
        <w:rPr>
          <w:rFonts w:ascii="Times New Roman" w:hAnsi="Times New Roman" w:cs="Times New Roman"/>
          <w:sz w:val="24"/>
          <w:szCs w:val="24"/>
        </w:rPr>
        <w:t xml:space="preserve">, projekta Nr. </w:t>
      </w:r>
      <w:r w:rsidRPr="0094503B">
        <w:rPr>
          <w:rFonts w:ascii="Times New Roman" w:hAnsi="Times New Roman" w:cs="Times New Roman"/>
          <w:color w:val="000000"/>
          <w:sz w:val="24"/>
          <w:szCs w:val="24"/>
          <w:shd w:val="clear" w:color="auto" w:fill="FFFFFF"/>
        </w:rPr>
        <w:t>9.2.2.1./15/I/004</w:t>
      </w:r>
      <w:r w:rsidR="00E67778" w:rsidRPr="0094503B">
        <w:rPr>
          <w:rFonts w:ascii="Times New Roman" w:hAnsi="Times New Roman" w:cs="Times New Roman"/>
          <w:sz w:val="24"/>
          <w:szCs w:val="24"/>
        </w:rPr>
        <w:t xml:space="preserve">; </w:t>
      </w:r>
    </w:p>
    <w:p w14:paraId="2EE9D8ED" w14:textId="63F793CA" w:rsidR="00B8100A" w:rsidRPr="0094503B" w:rsidRDefault="00F00046" w:rsidP="00E67778">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sidRPr="0094503B">
        <w:rPr>
          <w:rFonts w:ascii="Times New Roman" w:hAnsi="Times New Roman" w:cs="Times New Roman"/>
          <w:sz w:val="24"/>
          <w:szCs w:val="24"/>
        </w:rPr>
        <w:t>Projekts “</w:t>
      </w:r>
      <w:r w:rsidR="00E67778" w:rsidRPr="0094503B">
        <w:rPr>
          <w:rFonts w:ascii="Times New Roman" w:hAnsi="Times New Roman" w:cs="Times New Roman"/>
          <w:sz w:val="24"/>
          <w:szCs w:val="24"/>
        </w:rPr>
        <w:t>Deinstitucionalizācijas pasākumu īstenošana Latgales reģionā”</w:t>
      </w:r>
      <w:r w:rsidRPr="0094503B">
        <w:rPr>
          <w:rFonts w:ascii="Times New Roman" w:hAnsi="Times New Roman" w:cs="Times New Roman"/>
          <w:sz w:val="24"/>
          <w:szCs w:val="24"/>
        </w:rPr>
        <w:t>, projekta Nr.</w:t>
      </w:r>
      <w:r w:rsidR="00B34EA1">
        <w:rPr>
          <w:rFonts w:ascii="Times New Roman" w:hAnsi="Times New Roman" w:cs="Times New Roman"/>
          <w:b/>
          <w:sz w:val="24"/>
          <w:szCs w:val="24"/>
        </w:rPr>
        <w:t> </w:t>
      </w:r>
      <w:r w:rsidRPr="0094503B">
        <w:rPr>
          <w:rStyle w:val="Izteiksmgs"/>
          <w:rFonts w:ascii="Times New Roman" w:hAnsi="Times New Roman" w:cs="Times New Roman"/>
          <w:b w:val="0"/>
          <w:color w:val="202020"/>
          <w:sz w:val="24"/>
          <w:szCs w:val="24"/>
          <w:bdr w:val="none" w:sz="0" w:space="0" w:color="auto" w:frame="1"/>
          <w:shd w:val="clear" w:color="auto" w:fill="FFFFFF"/>
        </w:rPr>
        <w:t>9.2.2.1./15/I/005</w:t>
      </w:r>
      <w:r w:rsidR="00B34EA1">
        <w:rPr>
          <w:rStyle w:val="Izteiksmgs"/>
          <w:rFonts w:ascii="Times New Roman" w:hAnsi="Times New Roman" w:cs="Times New Roman"/>
          <w:b w:val="0"/>
          <w:color w:val="202020"/>
          <w:sz w:val="24"/>
          <w:szCs w:val="24"/>
          <w:bdr w:val="none" w:sz="0" w:space="0" w:color="auto" w:frame="1"/>
          <w:shd w:val="clear" w:color="auto" w:fill="FFFFFF"/>
        </w:rPr>
        <w:t>.</w:t>
      </w:r>
    </w:p>
    <w:p w14:paraId="53393FC4" w14:textId="1AC3FE76" w:rsidR="00562D9C" w:rsidRDefault="00562D9C" w:rsidP="009149CC">
      <w:pPr>
        <w:pStyle w:val="Sarakstarindkopa"/>
        <w:numPr>
          <w:ilvl w:val="1"/>
          <w:numId w:val="2"/>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sniegšanas termiņš: </w:t>
      </w:r>
      <w:r w:rsidR="0053083C">
        <w:rPr>
          <w:rFonts w:ascii="Times New Roman" w:hAnsi="Times New Roman" w:cs="Times New Roman"/>
          <w:color w:val="000000" w:themeColor="text1"/>
          <w:sz w:val="24"/>
          <w:szCs w:val="24"/>
        </w:rPr>
        <w:t>atbilstoši noteikumu 1. pielikumā norādītajam</w:t>
      </w:r>
      <w:r>
        <w:rPr>
          <w:rFonts w:ascii="Times New Roman" w:hAnsi="Times New Roman" w:cs="Times New Roman"/>
          <w:color w:val="000000" w:themeColor="text1"/>
          <w:sz w:val="24"/>
          <w:szCs w:val="24"/>
        </w:rPr>
        <w:t>.</w:t>
      </w:r>
    </w:p>
    <w:p w14:paraId="0CDF86CD" w14:textId="408A328A" w:rsidR="008072D6" w:rsidRPr="00161731"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2B60DB3D" w14:textId="64A42281" w:rsidR="008C46C9" w:rsidRPr="00C23E45" w:rsidRDefault="008C46C9" w:rsidP="00F406A6">
      <w:pPr>
        <w:pStyle w:val="Sarakstarindkopa"/>
        <w:numPr>
          <w:ilvl w:val="1"/>
          <w:numId w:val="2"/>
        </w:numPr>
        <w:spacing w:after="120" w:line="240" w:lineRule="auto"/>
        <w:ind w:left="567" w:hanging="567"/>
        <w:contextualSpacing w:val="0"/>
        <w:jc w:val="both"/>
        <w:rPr>
          <w:rFonts w:ascii="Times New Roman" w:hAnsi="Times New Roman"/>
          <w:bCs/>
          <w:sz w:val="24"/>
          <w:szCs w:val="24"/>
        </w:rPr>
      </w:pPr>
      <w:r w:rsidRPr="00C23E45">
        <w:rPr>
          <w:rFonts w:ascii="Times New Roman" w:hAnsi="Times New Roman"/>
          <w:bCs/>
          <w:sz w:val="24"/>
          <w:szCs w:val="24"/>
        </w:rPr>
        <w:t xml:space="preserve">Piedāvājuma izvēles kritērijs ir </w:t>
      </w:r>
      <w:r w:rsidRPr="00C23E45">
        <w:rPr>
          <w:rFonts w:ascii="Times New Roman" w:hAnsi="Times New Roman"/>
          <w:b/>
          <w:bCs/>
          <w:sz w:val="24"/>
          <w:szCs w:val="24"/>
        </w:rPr>
        <w:t xml:space="preserve">saimnieciski visizdevīgākais piedāvājums, ko noteiks pēc </w:t>
      </w:r>
      <w:r w:rsidR="00EC21F7" w:rsidRPr="00C23E45">
        <w:rPr>
          <w:rFonts w:ascii="Times New Roman" w:hAnsi="Times New Roman"/>
          <w:b/>
          <w:bCs/>
          <w:sz w:val="24"/>
          <w:szCs w:val="24"/>
        </w:rPr>
        <w:t>šādiem kritērijiem:</w:t>
      </w:r>
      <w:r w:rsidRPr="00C23E45">
        <w:rPr>
          <w:rFonts w:ascii="Times New Roman" w:hAnsi="Times New Roman"/>
          <w:b/>
          <w:bCs/>
          <w:sz w:val="24"/>
          <w:szCs w:val="24"/>
        </w:rP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56"/>
        <w:gridCol w:w="3251"/>
        <w:gridCol w:w="1523"/>
        <w:gridCol w:w="3104"/>
      </w:tblGrid>
      <w:tr w:rsidR="004B09EF" w:rsidRPr="00845B5D" w14:paraId="5B56063F" w14:textId="77777777" w:rsidTr="00E73929">
        <w:tc>
          <w:tcPr>
            <w:tcW w:w="1456" w:type="dxa"/>
            <w:shd w:val="clear" w:color="auto" w:fill="auto"/>
            <w:vAlign w:val="center"/>
          </w:tcPr>
          <w:p w14:paraId="3DC78F8C"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Kritērija apzīmējums</w:t>
            </w:r>
          </w:p>
        </w:tc>
        <w:tc>
          <w:tcPr>
            <w:tcW w:w="3251" w:type="dxa"/>
            <w:shd w:val="clear" w:color="auto" w:fill="auto"/>
            <w:vAlign w:val="center"/>
          </w:tcPr>
          <w:p w14:paraId="2BDAC647"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Kritērijs</w:t>
            </w:r>
          </w:p>
        </w:tc>
        <w:tc>
          <w:tcPr>
            <w:tcW w:w="1523" w:type="dxa"/>
            <w:shd w:val="clear" w:color="auto" w:fill="auto"/>
            <w:vAlign w:val="center"/>
          </w:tcPr>
          <w:p w14:paraId="02F55229"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Maksimālais punktu skaits</w:t>
            </w:r>
          </w:p>
        </w:tc>
        <w:tc>
          <w:tcPr>
            <w:tcW w:w="3104" w:type="dxa"/>
            <w:vAlign w:val="center"/>
          </w:tcPr>
          <w:p w14:paraId="185DA37F"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Punktu piešķiršanas metodika</w:t>
            </w:r>
          </w:p>
        </w:tc>
      </w:tr>
      <w:tr w:rsidR="004B09EF" w:rsidRPr="00845B5D" w14:paraId="4A9EE1F2" w14:textId="77777777" w:rsidTr="00E73929">
        <w:tc>
          <w:tcPr>
            <w:tcW w:w="1456" w:type="dxa"/>
            <w:shd w:val="clear" w:color="auto" w:fill="auto"/>
          </w:tcPr>
          <w:p w14:paraId="0E3A77D4"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lastRenderedPageBreak/>
              <w:t>K 1</w:t>
            </w:r>
          </w:p>
        </w:tc>
        <w:tc>
          <w:tcPr>
            <w:tcW w:w="3251" w:type="dxa"/>
            <w:shd w:val="clear" w:color="auto" w:fill="auto"/>
          </w:tcPr>
          <w:p w14:paraId="7413CACB" w14:textId="64C95B7D" w:rsidR="008C46C9" w:rsidRPr="00845B5D" w:rsidRDefault="00F2569C" w:rsidP="00A0760F">
            <w:pPr>
              <w:spacing w:after="120" w:line="240" w:lineRule="auto"/>
              <w:jc w:val="both"/>
              <w:rPr>
                <w:rFonts w:ascii="Times New Roman" w:hAnsi="Times New Roman" w:cs="Times New Roman"/>
                <w:bCs/>
                <w:i/>
                <w:sz w:val="24"/>
                <w:szCs w:val="24"/>
              </w:rPr>
            </w:pPr>
            <w:r w:rsidRPr="00845B5D">
              <w:rPr>
                <w:rFonts w:ascii="Times New Roman" w:hAnsi="Times New Roman" w:cs="Times New Roman"/>
                <w:bCs/>
                <w:i/>
                <w:sz w:val="24"/>
                <w:szCs w:val="24"/>
              </w:rPr>
              <w:t>Apmācību programmas izstrādes cena</w:t>
            </w:r>
          </w:p>
        </w:tc>
        <w:tc>
          <w:tcPr>
            <w:tcW w:w="1523" w:type="dxa"/>
            <w:shd w:val="clear" w:color="auto" w:fill="auto"/>
          </w:tcPr>
          <w:p w14:paraId="3657B23A" w14:textId="4BCF7639" w:rsidR="008C46C9" w:rsidRPr="00845B5D" w:rsidRDefault="00083C8F"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104" w:type="dxa"/>
          </w:tcPr>
          <w:p w14:paraId="5D5D24E0" w14:textId="6AE4D45F"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CC320D"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punktus), pārējo pretendentu punktu skaits matemātiski tiek aprēķināts pēc formulas:</w:t>
            </w:r>
          </w:p>
          <w:p w14:paraId="595C7BFE" w14:textId="77777777"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1 = C1.zem./ C1.pied. x N,</w:t>
            </w:r>
          </w:p>
          <w:p w14:paraId="4C0D9837" w14:textId="77777777"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409540C2" w14:textId="6D394726"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C1.zem. = viszemākā piedāvātā </w:t>
            </w:r>
            <w:r w:rsidR="00554D43"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38E236F5" w14:textId="44F914CA"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C1.pied.= vērtējamā piedāvātā </w:t>
            </w:r>
            <w:r w:rsidR="007A377F"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9631EBB" w14:textId="5EA73D2E" w:rsidR="008C46C9" w:rsidRPr="00845B5D" w:rsidRDefault="008C46C9" w:rsidP="00A0760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135ABA" w:rsidRPr="00845B5D">
              <w:rPr>
                <w:rStyle w:val="Izteiksmgs"/>
                <w:rFonts w:ascii="Times New Roman" w:hAnsi="Times New Roman" w:cs="Times New Roman"/>
                <w:b w:val="0"/>
                <w:sz w:val="24"/>
                <w:szCs w:val="24"/>
              </w:rPr>
              <w:t>3</w:t>
            </w:r>
            <w:r w:rsidRPr="00845B5D">
              <w:rPr>
                <w:rStyle w:val="Izteiksmgs"/>
                <w:rFonts w:ascii="Times New Roman" w:hAnsi="Times New Roman" w:cs="Times New Roman"/>
                <w:b w:val="0"/>
                <w:sz w:val="24"/>
                <w:szCs w:val="24"/>
              </w:rPr>
              <w:t>0 punkti.</w:t>
            </w:r>
          </w:p>
        </w:tc>
      </w:tr>
      <w:tr w:rsidR="004B09EF" w:rsidRPr="00845B5D" w14:paraId="00DE5844" w14:textId="77777777" w:rsidTr="00E73929">
        <w:tc>
          <w:tcPr>
            <w:tcW w:w="1456" w:type="dxa"/>
            <w:shd w:val="clear" w:color="auto" w:fill="auto"/>
          </w:tcPr>
          <w:p w14:paraId="4C4EDDF9"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2</w:t>
            </w:r>
          </w:p>
        </w:tc>
        <w:tc>
          <w:tcPr>
            <w:tcW w:w="3251" w:type="dxa"/>
            <w:shd w:val="clear" w:color="auto" w:fill="auto"/>
          </w:tcPr>
          <w:p w14:paraId="08A68A3A" w14:textId="4A400195" w:rsidR="008C46C9" w:rsidRPr="00845B5D" w:rsidRDefault="00F2569C" w:rsidP="00A0760F">
            <w:pPr>
              <w:spacing w:after="120" w:line="240" w:lineRule="auto"/>
              <w:jc w:val="both"/>
              <w:rPr>
                <w:rFonts w:ascii="Times New Roman" w:hAnsi="Times New Roman" w:cs="Times New Roman"/>
                <w:bCs/>
                <w:i/>
                <w:sz w:val="24"/>
                <w:szCs w:val="24"/>
              </w:rPr>
            </w:pPr>
            <w:r w:rsidRPr="00845B5D">
              <w:rPr>
                <w:rFonts w:ascii="Times New Roman" w:hAnsi="Times New Roman" w:cs="Times New Roman"/>
                <w:i/>
                <w:sz w:val="24"/>
                <w:szCs w:val="24"/>
              </w:rPr>
              <w:t>Mācību materiālu izstrādes cena</w:t>
            </w:r>
          </w:p>
        </w:tc>
        <w:tc>
          <w:tcPr>
            <w:tcW w:w="1523" w:type="dxa"/>
            <w:shd w:val="clear" w:color="auto" w:fill="auto"/>
          </w:tcPr>
          <w:p w14:paraId="781194B4" w14:textId="28DF1056" w:rsidR="008C46C9" w:rsidRPr="00845B5D" w:rsidRDefault="00083C8F"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20</w:t>
            </w:r>
          </w:p>
        </w:tc>
        <w:tc>
          <w:tcPr>
            <w:tcW w:w="3104" w:type="dxa"/>
          </w:tcPr>
          <w:p w14:paraId="5582C216" w14:textId="055509FF"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Piedāvājums ar zemāko cenu iegūst maksimālo punktu skaitu (</w:t>
            </w:r>
            <w:r w:rsidR="00CC320D" w:rsidRPr="00845B5D">
              <w:rPr>
                <w:rStyle w:val="Izteiksmgs"/>
                <w:rFonts w:ascii="Times New Roman" w:hAnsi="Times New Roman" w:cs="Times New Roman"/>
                <w:b w:val="0"/>
                <w:sz w:val="24"/>
                <w:szCs w:val="24"/>
              </w:rPr>
              <w:t>2</w:t>
            </w:r>
            <w:r w:rsidRPr="00845B5D">
              <w:rPr>
                <w:rStyle w:val="Izteiksmgs"/>
                <w:rFonts w:ascii="Times New Roman" w:hAnsi="Times New Roman" w:cs="Times New Roman"/>
                <w:b w:val="0"/>
                <w:sz w:val="24"/>
                <w:szCs w:val="24"/>
              </w:rPr>
              <w:t>0 punktus), pārējo pretendentu punktu skaits matemātiski tiek aprēķināts pēc formulas:</w:t>
            </w:r>
          </w:p>
          <w:p w14:paraId="145CBA35" w14:textId="77777777"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 2 = C2.zem./ C2.pied. x N,</w:t>
            </w:r>
          </w:p>
          <w:p w14:paraId="44605287" w14:textId="77777777"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kur:</w:t>
            </w:r>
          </w:p>
          <w:p w14:paraId="3E4AE5A0" w14:textId="66B1969E"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C2.zem. = viszemākā piedāvātā </w:t>
            </w:r>
            <w:r w:rsidR="00135ABA"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5A580A22" w14:textId="5C7935AD" w:rsidR="008C46C9" w:rsidRPr="00845B5D" w:rsidRDefault="008C46C9" w:rsidP="00A0760F">
            <w:pPr>
              <w:spacing w:after="120" w:line="240" w:lineRule="auto"/>
              <w:jc w:val="both"/>
              <w:rPr>
                <w:rStyle w:val="Izteiksmgs"/>
                <w:rFonts w:ascii="Times New Roman" w:hAnsi="Times New Roman" w:cs="Times New Roman"/>
                <w:b w:val="0"/>
                <w:sz w:val="24"/>
                <w:szCs w:val="24"/>
              </w:rPr>
            </w:pPr>
            <w:r w:rsidRPr="00845B5D">
              <w:rPr>
                <w:rStyle w:val="Izteiksmgs"/>
                <w:rFonts w:ascii="Times New Roman" w:hAnsi="Times New Roman" w:cs="Times New Roman"/>
                <w:b w:val="0"/>
                <w:sz w:val="24"/>
                <w:szCs w:val="24"/>
              </w:rPr>
              <w:t xml:space="preserve">C2.pied.= vērtējamā piedāvātā </w:t>
            </w:r>
            <w:r w:rsidR="00135ABA" w:rsidRPr="00845B5D">
              <w:rPr>
                <w:rStyle w:val="Izteiksmgs"/>
                <w:rFonts w:ascii="Times New Roman" w:hAnsi="Times New Roman" w:cs="Times New Roman"/>
                <w:b w:val="0"/>
                <w:sz w:val="24"/>
                <w:szCs w:val="24"/>
              </w:rPr>
              <w:t>cena</w:t>
            </w:r>
            <w:r w:rsidRPr="00845B5D">
              <w:rPr>
                <w:rStyle w:val="Izteiksmgs"/>
                <w:rFonts w:ascii="Times New Roman" w:hAnsi="Times New Roman" w:cs="Times New Roman"/>
                <w:b w:val="0"/>
                <w:sz w:val="24"/>
                <w:szCs w:val="24"/>
              </w:rPr>
              <w:t xml:space="preserve"> bez PVN, EUR;</w:t>
            </w:r>
          </w:p>
          <w:p w14:paraId="7E89A07A" w14:textId="7AC2D534" w:rsidR="008C46C9" w:rsidRPr="00845B5D" w:rsidRDefault="008C46C9" w:rsidP="00A0760F">
            <w:pPr>
              <w:spacing w:after="120" w:line="240" w:lineRule="auto"/>
              <w:jc w:val="both"/>
              <w:rPr>
                <w:rFonts w:ascii="Times New Roman" w:hAnsi="Times New Roman" w:cs="Times New Roman"/>
                <w:bCs/>
                <w:sz w:val="24"/>
                <w:szCs w:val="24"/>
              </w:rPr>
            </w:pPr>
            <w:r w:rsidRPr="00845B5D">
              <w:rPr>
                <w:rStyle w:val="Izteiksmgs"/>
                <w:rFonts w:ascii="Times New Roman" w:hAnsi="Times New Roman" w:cs="Times New Roman"/>
                <w:b w:val="0"/>
                <w:sz w:val="24"/>
                <w:szCs w:val="24"/>
              </w:rPr>
              <w:t xml:space="preserve">N = kritērija maksimālā skaitliskā vērtība, punkti – </w:t>
            </w:r>
            <w:r w:rsidR="00135ABA" w:rsidRPr="00845B5D">
              <w:rPr>
                <w:rStyle w:val="Izteiksmgs"/>
                <w:rFonts w:ascii="Times New Roman" w:hAnsi="Times New Roman" w:cs="Times New Roman"/>
                <w:b w:val="0"/>
                <w:sz w:val="24"/>
                <w:szCs w:val="24"/>
              </w:rPr>
              <w:t>2</w:t>
            </w:r>
            <w:r w:rsidRPr="00845B5D">
              <w:rPr>
                <w:rStyle w:val="Izteiksmgs"/>
                <w:rFonts w:ascii="Times New Roman" w:hAnsi="Times New Roman" w:cs="Times New Roman"/>
                <w:b w:val="0"/>
                <w:sz w:val="24"/>
                <w:szCs w:val="24"/>
              </w:rPr>
              <w:t>0 punkti.</w:t>
            </w:r>
          </w:p>
        </w:tc>
      </w:tr>
      <w:tr w:rsidR="004B09EF" w:rsidRPr="00845B5D" w14:paraId="63428892" w14:textId="77777777" w:rsidTr="00E73929">
        <w:tc>
          <w:tcPr>
            <w:tcW w:w="1456" w:type="dxa"/>
            <w:shd w:val="clear" w:color="auto" w:fill="auto"/>
          </w:tcPr>
          <w:p w14:paraId="6CECEA90"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3</w:t>
            </w:r>
          </w:p>
        </w:tc>
        <w:tc>
          <w:tcPr>
            <w:tcW w:w="3251" w:type="dxa"/>
            <w:shd w:val="clear" w:color="auto" w:fill="auto"/>
          </w:tcPr>
          <w:p w14:paraId="57EF898D" w14:textId="02552447" w:rsidR="008C46C9" w:rsidRPr="00845B5D" w:rsidRDefault="00135ABA" w:rsidP="00A0760F">
            <w:pPr>
              <w:spacing w:after="120" w:line="240" w:lineRule="auto"/>
              <w:jc w:val="both"/>
              <w:rPr>
                <w:rFonts w:ascii="Times New Roman" w:hAnsi="Times New Roman" w:cs="Times New Roman"/>
                <w:bCs/>
                <w:i/>
                <w:sz w:val="24"/>
                <w:szCs w:val="24"/>
              </w:rPr>
            </w:pPr>
            <w:r w:rsidRPr="00845B5D">
              <w:rPr>
                <w:rFonts w:ascii="Times New Roman" w:hAnsi="Times New Roman" w:cs="Times New Roman"/>
                <w:bCs/>
                <w:i/>
                <w:sz w:val="24"/>
                <w:szCs w:val="24"/>
              </w:rPr>
              <w:t xml:space="preserve">Līguma izpildē iesaistīto speciālistu </w:t>
            </w:r>
            <w:r w:rsidR="008010D2" w:rsidRPr="00845B5D">
              <w:rPr>
                <w:rFonts w:ascii="Times New Roman" w:hAnsi="Times New Roman" w:cs="Times New Roman"/>
                <w:bCs/>
                <w:i/>
                <w:sz w:val="24"/>
                <w:szCs w:val="24"/>
              </w:rPr>
              <w:t>kvalifikācija</w:t>
            </w:r>
            <w:r w:rsidR="00E73929" w:rsidRPr="00845B5D">
              <w:rPr>
                <w:rFonts w:ascii="Times New Roman" w:hAnsi="Times New Roman" w:cs="Times New Roman"/>
                <w:bCs/>
                <w:i/>
                <w:sz w:val="24"/>
                <w:szCs w:val="24"/>
              </w:rPr>
              <w:t xml:space="preserve"> un pieredze</w:t>
            </w:r>
          </w:p>
        </w:tc>
        <w:tc>
          <w:tcPr>
            <w:tcW w:w="1523" w:type="dxa"/>
            <w:shd w:val="clear" w:color="auto" w:fill="auto"/>
          </w:tcPr>
          <w:p w14:paraId="1B7CD98A" w14:textId="77777777" w:rsidR="008C46C9" w:rsidRPr="00845B5D" w:rsidRDefault="008C46C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10</w:t>
            </w:r>
          </w:p>
        </w:tc>
        <w:tc>
          <w:tcPr>
            <w:tcW w:w="3104" w:type="dxa"/>
          </w:tcPr>
          <w:p w14:paraId="36EDFE53" w14:textId="644605BE" w:rsidR="008C46C9" w:rsidRPr="00845B5D" w:rsidRDefault="008C46C9" w:rsidP="00A0760F">
            <w:pPr>
              <w:spacing w:after="120" w:line="240" w:lineRule="auto"/>
              <w:jc w:val="both"/>
              <w:rPr>
                <w:rFonts w:ascii="Times New Roman" w:hAnsi="Times New Roman" w:cs="Times New Roman"/>
                <w:bCs/>
                <w:sz w:val="24"/>
                <w:szCs w:val="24"/>
              </w:rPr>
            </w:pPr>
          </w:p>
        </w:tc>
      </w:tr>
      <w:tr w:rsidR="00E73929" w:rsidRPr="00845B5D" w14:paraId="163FAB31" w14:textId="77777777" w:rsidTr="00C4515A">
        <w:trPr>
          <w:trHeight w:val="600"/>
        </w:trPr>
        <w:tc>
          <w:tcPr>
            <w:tcW w:w="1456" w:type="dxa"/>
            <w:tcBorders>
              <w:bottom w:val="single" w:sz="4" w:space="0" w:color="auto"/>
            </w:tcBorders>
            <w:shd w:val="clear" w:color="auto" w:fill="auto"/>
          </w:tcPr>
          <w:p w14:paraId="0AB21EE3" w14:textId="5F458932" w:rsidR="00E73929" w:rsidRPr="00845B5D" w:rsidRDefault="00E7392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3.1.</w:t>
            </w:r>
          </w:p>
        </w:tc>
        <w:tc>
          <w:tcPr>
            <w:tcW w:w="3251" w:type="dxa"/>
            <w:tcBorders>
              <w:bottom w:val="single" w:sz="4" w:space="0" w:color="auto"/>
            </w:tcBorders>
            <w:shd w:val="clear" w:color="auto" w:fill="auto"/>
          </w:tcPr>
          <w:p w14:paraId="6E57B05F" w14:textId="3E5528F7" w:rsidR="00E73929" w:rsidRPr="00845B5D" w:rsidRDefault="00E73929" w:rsidP="00A0760F">
            <w:pPr>
              <w:spacing w:after="120" w:line="240" w:lineRule="auto"/>
              <w:jc w:val="both"/>
              <w:rPr>
                <w:rFonts w:ascii="Times New Roman" w:hAnsi="Times New Roman" w:cs="Times New Roman"/>
                <w:bCs/>
                <w:i/>
                <w:sz w:val="24"/>
                <w:szCs w:val="24"/>
              </w:rPr>
            </w:pPr>
            <w:r w:rsidRPr="00845B5D">
              <w:rPr>
                <w:rFonts w:ascii="Times New Roman" w:hAnsi="Times New Roman" w:cs="Times New Roman"/>
                <w:bCs/>
                <w:i/>
                <w:sz w:val="24"/>
                <w:szCs w:val="24"/>
              </w:rPr>
              <w:t>Pieaugušo izglītības speciālista kvalifikācija un pieredze</w:t>
            </w:r>
          </w:p>
        </w:tc>
        <w:tc>
          <w:tcPr>
            <w:tcW w:w="1523" w:type="dxa"/>
            <w:tcBorders>
              <w:bottom w:val="single" w:sz="4" w:space="0" w:color="auto"/>
            </w:tcBorders>
            <w:shd w:val="clear" w:color="auto" w:fill="auto"/>
          </w:tcPr>
          <w:p w14:paraId="35161869" w14:textId="3F8F28CD" w:rsidR="00E73929" w:rsidRPr="00845B5D" w:rsidRDefault="00E7392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5</w:t>
            </w:r>
          </w:p>
        </w:tc>
        <w:tc>
          <w:tcPr>
            <w:tcW w:w="3104" w:type="dxa"/>
            <w:tcBorders>
              <w:bottom w:val="single" w:sz="4" w:space="0" w:color="auto"/>
            </w:tcBorders>
          </w:tcPr>
          <w:p w14:paraId="2BB33D34" w14:textId="6CC7943F" w:rsidR="00E73929" w:rsidRPr="00845B5D" w:rsidRDefault="00E73929" w:rsidP="00A0760F">
            <w:pPr>
              <w:spacing w:after="120" w:line="240" w:lineRule="auto"/>
              <w:jc w:val="both"/>
              <w:rPr>
                <w:rFonts w:ascii="Times New Roman" w:hAnsi="Times New Roman" w:cs="Times New Roman"/>
                <w:bCs/>
                <w:sz w:val="24"/>
                <w:szCs w:val="24"/>
              </w:rPr>
            </w:pPr>
          </w:p>
        </w:tc>
      </w:tr>
      <w:tr w:rsidR="00E73929" w:rsidRPr="00845B5D" w14:paraId="0C855133" w14:textId="77777777" w:rsidTr="00C4515A">
        <w:trPr>
          <w:trHeight w:val="690"/>
        </w:trPr>
        <w:tc>
          <w:tcPr>
            <w:tcW w:w="1456" w:type="dxa"/>
            <w:vMerge w:val="restart"/>
            <w:tcBorders>
              <w:top w:val="single" w:sz="4" w:space="0" w:color="auto"/>
            </w:tcBorders>
            <w:shd w:val="clear" w:color="auto" w:fill="auto"/>
          </w:tcPr>
          <w:p w14:paraId="4E39CDCB" w14:textId="77777777" w:rsidR="00E73929" w:rsidRPr="00845B5D" w:rsidRDefault="00E73929" w:rsidP="00A0760F">
            <w:pPr>
              <w:spacing w:after="120" w:line="240" w:lineRule="auto"/>
              <w:jc w:val="center"/>
              <w:rPr>
                <w:rFonts w:ascii="Times New Roman" w:hAnsi="Times New Roman" w:cs="Times New Roman"/>
                <w:b/>
                <w:bCs/>
                <w:sz w:val="24"/>
                <w:szCs w:val="24"/>
              </w:rPr>
            </w:pPr>
          </w:p>
        </w:tc>
        <w:tc>
          <w:tcPr>
            <w:tcW w:w="3251" w:type="dxa"/>
            <w:tcBorders>
              <w:top w:val="single" w:sz="4" w:space="0" w:color="auto"/>
              <w:bottom w:val="single" w:sz="4" w:space="0" w:color="auto"/>
            </w:tcBorders>
            <w:shd w:val="clear" w:color="auto" w:fill="auto"/>
          </w:tcPr>
          <w:p w14:paraId="1A98B17A" w14:textId="22159A49" w:rsidR="00E73929" w:rsidRPr="00845B5D" w:rsidRDefault="00E73929" w:rsidP="00E73929">
            <w:pPr>
              <w:spacing w:after="120" w:line="240" w:lineRule="auto"/>
              <w:jc w:val="both"/>
              <w:rPr>
                <w:rFonts w:ascii="Times New Roman" w:hAnsi="Times New Roman" w:cs="Times New Roman"/>
                <w:bCs/>
                <w:sz w:val="24"/>
                <w:szCs w:val="24"/>
              </w:rPr>
            </w:pPr>
          </w:p>
        </w:tc>
        <w:tc>
          <w:tcPr>
            <w:tcW w:w="1523" w:type="dxa"/>
            <w:tcBorders>
              <w:top w:val="single" w:sz="4" w:space="0" w:color="auto"/>
              <w:bottom w:val="single" w:sz="4" w:space="0" w:color="auto"/>
            </w:tcBorders>
            <w:shd w:val="clear" w:color="auto" w:fill="auto"/>
          </w:tcPr>
          <w:p w14:paraId="6EDD48CB" w14:textId="301A08D7" w:rsidR="00E73929" w:rsidRPr="00845B5D" w:rsidRDefault="00E73929"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5</w:t>
            </w:r>
          </w:p>
        </w:tc>
        <w:tc>
          <w:tcPr>
            <w:tcW w:w="3104" w:type="dxa"/>
            <w:tcBorders>
              <w:top w:val="single" w:sz="4" w:space="0" w:color="auto"/>
              <w:bottom w:val="single" w:sz="4" w:space="0" w:color="auto"/>
            </w:tcBorders>
          </w:tcPr>
          <w:p w14:paraId="3A3E8BC8" w14:textId="4999D011" w:rsidR="00E73929" w:rsidRPr="00845B5D" w:rsidRDefault="00D747DB" w:rsidP="00124135">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845B5D" w:rsidRPr="00845B5D">
              <w:rPr>
                <w:rFonts w:ascii="Times New Roman" w:hAnsi="Times New Roman" w:cs="Times New Roman"/>
                <w:bCs/>
                <w:sz w:val="24"/>
                <w:szCs w:val="24"/>
              </w:rPr>
              <w:t xml:space="preserve">iedāvātajam speciālistam ir augstākā izglītība pedagoģijā, izglītībā vai izglītības vadībā un iepriekšējo trīs gadu laikā (2016., 2017., 2018. vai 2019. gadā līdz piedāvājuma </w:t>
            </w:r>
            <w:r w:rsidR="00845B5D" w:rsidRPr="00845B5D">
              <w:rPr>
                <w:rFonts w:ascii="Times New Roman" w:hAnsi="Times New Roman" w:cs="Times New Roman"/>
                <w:bCs/>
                <w:sz w:val="24"/>
                <w:szCs w:val="24"/>
              </w:rPr>
              <w:lastRenderedPageBreak/>
              <w:t>iesniegšanai) ir pieredze vismaz vienas izglītības vai tālākizglītības programmas vai mācību priekšmeta vai kursa programmas izstrādē vai īstenošanā pieaugušajiem;</w:t>
            </w:r>
          </w:p>
        </w:tc>
      </w:tr>
      <w:tr w:rsidR="00E73929" w:rsidRPr="00845B5D" w14:paraId="10C5D148" w14:textId="77777777" w:rsidTr="00E73929">
        <w:trPr>
          <w:trHeight w:val="1945"/>
        </w:trPr>
        <w:tc>
          <w:tcPr>
            <w:tcW w:w="1456" w:type="dxa"/>
            <w:vMerge/>
            <w:shd w:val="clear" w:color="auto" w:fill="auto"/>
          </w:tcPr>
          <w:p w14:paraId="3518DF05" w14:textId="77777777" w:rsidR="00E73929" w:rsidRPr="00845B5D" w:rsidRDefault="00E73929" w:rsidP="00A0760F">
            <w:pPr>
              <w:spacing w:after="120" w:line="240" w:lineRule="auto"/>
              <w:jc w:val="center"/>
              <w:rPr>
                <w:rFonts w:ascii="Times New Roman" w:hAnsi="Times New Roman" w:cs="Times New Roman"/>
                <w:b/>
                <w:bCs/>
                <w:sz w:val="24"/>
                <w:szCs w:val="24"/>
              </w:rPr>
            </w:pPr>
          </w:p>
        </w:tc>
        <w:tc>
          <w:tcPr>
            <w:tcW w:w="3251" w:type="dxa"/>
            <w:tcBorders>
              <w:top w:val="single" w:sz="4" w:space="0" w:color="auto"/>
            </w:tcBorders>
            <w:shd w:val="clear" w:color="auto" w:fill="auto"/>
          </w:tcPr>
          <w:p w14:paraId="16308176" w14:textId="2C2BE81C" w:rsidR="00E73929" w:rsidRPr="00845B5D" w:rsidRDefault="00E73929" w:rsidP="00E73929">
            <w:pPr>
              <w:spacing w:after="120" w:line="240" w:lineRule="auto"/>
              <w:jc w:val="both"/>
              <w:rPr>
                <w:rFonts w:ascii="Times New Roman" w:hAnsi="Times New Roman" w:cs="Times New Roman"/>
                <w:bCs/>
                <w:sz w:val="24"/>
                <w:szCs w:val="24"/>
              </w:rPr>
            </w:pPr>
          </w:p>
        </w:tc>
        <w:tc>
          <w:tcPr>
            <w:tcW w:w="1523" w:type="dxa"/>
            <w:tcBorders>
              <w:top w:val="single" w:sz="4" w:space="0" w:color="auto"/>
            </w:tcBorders>
            <w:shd w:val="clear" w:color="auto" w:fill="auto"/>
          </w:tcPr>
          <w:p w14:paraId="5DE339A6" w14:textId="1CF7C31F" w:rsidR="00E73929" w:rsidRPr="00845B5D" w:rsidRDefault="00D96B8A"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w:t>
            </w:r>
          </w:p>
        </w:tc>
        <w:tc>
          <w:tcPr>
            <w:tcW w:w="3104" w:type="dxa"/>
            <w:tcBorders>
              <w:top w:val="single" w:sz="4" w:space="0" w:color="auto"/>
            </w:tcBorders>
          </w:tcPr>
          <w:p w14:paraId="71276E77" w14:textId="03182C17" w:rsidR="00E73929" w:rsidRPr="00845B5D" w:rsidRDefault="00E74577" w:rsidP="00124135">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Pr="00845B5D">
              <w:rPr>
                <w:rFonts w:ascii="Times New Roman" w:hAnsi="Times New Roman" w:cs="Times New Roman"/>
                <w:bCs/>
                <w:sz w:val="24"/>
                <w:szCs w:val="24"/>
              </w:rPr>
              <w:t xml:space="preserve">iedāvātajam speciālistam ir augstākā izglītība pedagoģijā, izglītībā vai izglītības vadībā </w:t>
            </w:r>
            <w:r>
              <w:rPr>
                <w:rFonts w:ascii="Times New Roman" w:hAnsi="Times New Roman" w:cs="Times New Roman"/>
                <w:bCs/>
                <w:sz w:val="24"/>
                <w:szCs w:val="24"/>
              </w:rPr>
              <w:t>un</w:t>
            </w:r>
            <w:r w:rsidRPr="00845B5D">
              <w:rPr>
                <w:rFonts w:ascii="Times New Roman" w:hAnsi="Times New Roman" w:cs="Times New Roman"/>
                <w:bCs/>
                <w:sz w:val="24"/>
                <w:szCs w:val="24"/>
              </w:rPr>
              <w:t xml:space="preserve"> pieredze vismaz vienas izglītības vai tālākizglītības programmas vai mācību priekšmeta vai kursa programmas izstrādē vai īstenošanā;</w:t>
            </w:r>
          </w:p>
        </w:tc>
      </w:tr>
      <w:tr w:rsidR="00C4515A" w:rsidRPr="00845B5D" w14:paraId="40478E26" w14:textId="77777777" w:rsidTr="00E74577">
        <w:trPr>
          <w:trHeight w:val="948"/>
        </w:trPr>
        <w:tc>
          <w:tcPr>
            <w:tcW w:w="1456" w:type="dxa"/>
            <w:vMerge w:val="restart"/>
            <w:tcBorders>
              <w:top w:val="nil"/>
            </w:tcBorders>
            <w:shd w:val="clear" w:color="auto" w:fill="auto"/>
          </w:tcPr>
          <w:p w14:paraId="2D5A0B71" w14:textId="77777777" w:rsidR="00C4515A" w:rsidRPr="00845B5D" w:rsidRDefault="00C4515A" w:rsidP="00A0760F">
            <w:pPr>
              <w:spacing w:after="120" w:line="240" w:lineRule="auto"/>
              <w:jc w:val="center"/>
              <w:rPr>
                <w:rFonts w:ascii="Times New Roman" w:hAnsi="Times New Roman" w:cs="Times New Roman"/>
                <w:b/>
                <w:bCs/>
                <w:sz w:val="24"/>
                <w:szCs w:val="24"/>
              </w:rPr>
            </w:pPr>
          </w:p>
        </w:tc>
        <w:tc>
          <w:tcPr>
            <w:tcW w:w="3251" w:type="dxa"/>
            <w:tcBorders>
              <w:top w:val="single" w:sz="4" w:space="0" w:color="auto"/>
              <w:bottom w:val="single" w:sz="4" w:space="0" w:color="auto"/>
            </w:tcBorders>
            <w:shd w:val="clear" w:color="auto" w:fill="auto"/>
          </w:tcPr>
          <w:p w14:paraId="7275CC15" w14:textId="1E2483B7" w:rsidR="00C4515A" w:rsidRPr="00845B5D" w:rsidRDefault="00C4515A" w:rsidP="00E73929">
            <w:pPr>
              <w:spacing w:after="120" w:line="240" w:lineRule="auto"/>
              <w:jc w:val="both"/>
              <w:rPr>
                <w:rFonts w:ascii="Times New Roman" w:hAnsi="Times New Roman" w:cs="Times New Roman"/>
                <w:bCs/>
                <w:sz w:val="24"/>
                <w:szCs w:val="24"/>
              </w:rPr>
            </w:pPr>
          </w:p>
        </w:tc>
        <w:tc>
          <w:tcPr>
            <w:tcW w:w="1523" w:type="dxa"/>
            <w:tcBorders>
              <w:top w:val="single" w:sz="4" w:space="0" w:color="auto"/>
              <w:bottom w:val="single" w:sz="4" w:space="0" w:color="auto"/>
            </w:tcBorders>
            <w:shd w:val="clear" w:color="auto" w:fill="auto"/>
          </w:tcPr>
          <w:p w14:paraId="2C234042" w14:textId="2296CD5E" w:rsidR="00C4515A" w:rsidRPr="00845B5D" w:rsidRDefault="00C4515A"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w:t>
            </w:r>
          </w:p>
        </w:tc>
        <w:tc>
          <w:tcPr>
            <w:tcW w:w="3104" w:type="dxa"/>
            <w:tcBorders>
              <w:top w:val="single" w:sz="4" w:space="0" w:color="auto"/>
              <w:bottom w:val="single" w:sz="4" w:space="0" w:color="auto"/>
            </w:tcBorders>
          </w:tcPr>
          <w:p w14:paraId="5F64FCEA" w14:textId="3E2415C3" w:rsidR="00C4515A" w:rsidRPr="00845B5D" w:rsidRDefault="00E74577" w:rsidP="004C743A">
            <w:pPr>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Pr="00845B5D">
              <w:rPr>
                <w:rFonts w:ascii="Times New Roman" w:hAnsi="Times New Roman" w:cs="Times New Roman"/>
                <w:bCs/>
                <w:sz w:val="24"/>
                <w:szCs w:val="24"/>
              </w:rPr>
              <w:t>iedāvātajam speciālistam ir augstākā izglītība pedagoģijā, izglītībā vai izglītības vadībā</w:t>
            </w:r>
            <w:r>
              <w:rPr>
                <w:rFonts w:ascii="Times New Roman" w:hAnsi="Times New Roman" w:cs="Times New Roman"/>
                <w:bCs/>
                <w:sz w:val="24"/>
                <w:szCs w:val="24"/>
              </w:rPr>
              <w:t>;</w:t>
            </w:r>
          </w:p>
        </w:tc>
      </w:tr>
      <w:tr w:rsidR="00C4515A" w:rsidRPr="00845B5D" w14:paraId="15C868ED" w14:textId="77777777" w:rsidTr="00B97F61">
        <w:trPr>
          <w:trHeight w:val="810"/>
        </w:trPr>
        <w:tc>
          <w:tcPr>
            <w:tcW w:w="1456" w:type="dxa"/>
            <w:vMerge/>
            <w:tcBorders>
              <w:top w:val="nil"/>
            </w:tcBorders>
            <w:shd w:val="clear" w:color="auto" w:fill="auto"/>
          </w:tcPr>
          <w:p w14:paraId="35305526" w14:textId="77777777" w:rsidR="00C4515A" w:rsidRPr="00845B5D" w:rsidRDefault="00C4515A" w:rsidP="00A0760F">
            <w:pPr>
              <w:spacing w:after="120" w:line="240" w:lineRule="auto"/>
              <w:jc w:val="center"/>
              <w:rPr>
                <w:rFonts w:ascii="Times New Roman" w:hAnsi="Times New Roman" w:cs="Times New Roman"/>
                <w:b/>
                <w:bCs/>
                <w:sz w:val="24"/>
                <w:szCs w:val="24"/>
              </w:rPr>
            </w:pPr>
          </w:p>
        </w:tc>
        <w:tc>
          <w:tcPr>
            <w:tcW w:w="3251" w:type="dxa"/>
            <w:tcBorders>
              <w:top w:val="single" w:sz="4" w:space="0" w:color="auto"/>
            </w:tcBorders>
            <w:shd w:val="clear" w:color="auto" w:fill="auto"/>
          </w:tcPr>
          <w:p w14:paraId="1A3F74D0" w14:textId="698E587C" w:rsidR="00C4515A" w:rsidRPr="00845B5D" w:rsidRDefault="00C4515A" w:rsidP="00E73929">
            <w:pPr>
              <w:spacing w:after="120" w:line="240" w:lineRule="auto"/>
              <w:jc w:val="both"/>
              <w:rPr>
                <w:rFonts w:ascii="Times New Roman" w:hAnsi="Times New Roman" w:cs="Times New Roman"/>
                <w:bCs/>
                <w:sz w:val="24"/>
                <w:szCs w:val="24"/>
              </w:rPr>
            </w:pPr>
          </w:p>
        </w:tc>
        <w:tc>
          <w:tcPr>
            <w:tcW w:w="1523" w:type="dxa"/>
            <w:tcBorders>
              <w:top w:val="single" w:sz="4" w:space="0" w:color="auto"/>
            </w:tcBorders>
            <w:shd w:val="clear" w:color="auto" w:fill="auto"/>
          </w:tcPr>
          <w:p w14:paraId="0F711985" w14:textId="3F93F49B" w:rsidR="00C4515A" w:rsidRPr="00845B5D" w:rsidRDefault="00C4515A"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0</w:t>
            </w:r>
          </w:p>
        </w:tc>
        <w:tc>
          <w:tcPr>
            <w:tcW w:w="3104" w:type="dxa"/>
            <w:tcBorders>
              <w:top w:val="single" w:sz="4" w:space="0" w:color="auto"/>
            </w:tcBorders>
          </w:tcPr>
          <w:p w14:paraId="00ECC183" w14:textId="14E5822A" w:rsidR="00C4515A" w:rsidRPr="00845B5D" w:rsidRDefault="00845B5D" w:rsidP="00A0760F">
            <w:pPr>
              <w:spacing w:after="120" w:line="240" w:lineRule="auto"/>
              <w:jc w:val="both"/>
              <w:rPr>
                <w:rFonts w:ascii="Times New Roman" w:hAnsi="Times New Roman" w:cs="Times New Roman"/>
                <w:bCs/>
                <w:sz w:val="24"/>
                <w:szCs w:val="24"/>
              </w:rPr>
            </w:pPr>
            <w:r w:rsidRPr="00845B5D">
              <w:rPr>
                <w:rFonts w:ascii="Times New Roman" w:hAnsi="Times New Roman" w:cs="Times New Roman"/>
                <w:bCs/>
                <w:sz w:val="24"/>
                <w:szCs w:val="24"/>
              </w:rPr>
              <w:t xml:space="preserve">Pieaugušo izglītības speciālista kvalifikācija un </w:t>
            </w:r>
            <w:r w:rsidRPr="00845B5D">
              <w:rPr>
                <w:rStyle w:val="Izteiksmgs"/>
                <w:rFonts w:ascii="Times New Roman" w:hAnsi="Times New Roman" w:cs="Times New Roman"/>
                <w:b w:val="0"/>
                <w:color w:val="000000"/>
                <w:sz w:val="24"/>
                <w:szCs w:val="24"/>
              </w:rPr>
              <w:t>pieredze neatbilst nevienam no iepriekš minētajiem aprakstiem.</w:t>
            </w:r>
          </w:p>
        </w:tc>
      </w:tr>
      <w:tr w:rsidR="009128DD" w:rsidRPr="00845B5D" w14:paraId="246D852C" w14:textId="77777777" w:rsidTr="00E73929">
        <w:tc>
          <w:tcPr>
            <w:tcW w:w="1456" w:type="dxa"/>
            <w:shd w:val="clear" w:color="auto" w:fill="auto"/>
          </w:tcPr>
          <w:p w14:paraId="42C99547" w14:textId="33F75183" w:rsidR="009128DD" w:rsidRPr="00845B5D" w:rsidRDefault="009128DD" w:rsidP="009128D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K 3.2.</w:t>
            </w:r>
          </w:p>
        </w:tc>
        <w:tc>
          <w:tcPr>
            <w:tcW w:w="3251" w:type="dxa"/>
            <w:shd w:val="clear" w:color="auto" w:fill="auto"/>
          </w:tcPr>
          <w:p w14:paraId="4A709EC8" w14:textId="1B3DBCDD" w:rsidR="009128DD" w:rsidRPr="00845B5D" w:rsidRDefault="006F1281" w:rsidP="009128DD">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hAnsi="Times New Roman" w:cs="Times New Roman"/>
                <w:bCs/>
                <w:i/>
                <w:sz w:val="24"/>
                <w:szCs w:val="24"/>
              </w:rPr>
              <w:t>Sociālā</w:t>
            </w:r>
            <w:r w:rsidR="00655AE2" w:rsidRPr="00845B5D">
              <w:rPr>
                <w:rFonts w:ascii="Times New Roman" w:hAnsi="Times New Roman" w:cs="Times New Roman"/>
                <w:bCs/>
                <w:i/>
                <w:sz w:val="24"/>
                <w:szCs w:val="24"/>
              </w:rPr>
              <w:t xml:space="preserve"> darba</w:t>
            </w:r>
            <w:r w:rsidR="009128DD" w:rsidRPr="00845B5D">
              <w:rPr>
                <w:rFonts w:ascii="Times New Roman" w:hAnsi="Times New Roman" w:cs="Times New Roman"/>
                <w:bCs/>
                <w:i/>
                <w:sz w:val="24"/>
                <w:szCs w:val="24"/>
              </w:rPr>
              <w:t xml:space="preserve"> speciālista kvalifikācija un pieredze</w:t>
            </w:r>
          </w:p>
        </w:tc>
        <w:tc>
          <w:tcPr>
            <w:tcW w:w="1523" w:type="dxa"/>
            <w:shd w:val="clear" w:color="auto" w:fill="auto"/>
          </w:tcPr>
          <w:p w14:paraId="5D883E43" w14:textId="08FBEA38" w:rsidR="009128DD" w:rsidRPr="00845B5D" w:rsidRDefault="009128DD" w:rsidP="009128D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5</w:t>
            </w:r>
          </w:p>
        </w:tc>
        <w:tc>
          <w:tcPr>
            <w:tcW w:w="3104" w:type="dxa"/>
          </w:tcPr>
          <w:p w14:paraId="4EC987DA" w14:textId="77777777" w:rsidR="009128DD" w:rsidRPr="00845B5D" w:rsidRDefault="009128DD" w:rsidP="009128DD">
            <w:pPr>
              <w:spacing w:after="120" w:line="240" w:lineRule="auto"/>
              <w:jc w:val="both"/>
              <w:rPr>
                <w:rStyle w:val="Izteiksmgs"/>
                <w:rFonts w:ascii="Times New Roman" w:hAnsi="Times New Roman" w:cs="Times New Roman"/>
                <w:b w:val="0"/>
                <w:sz w:val="24"/>
                <w:szCs w:val="24"/>
              </w:rPr>
            </w:pPr>
          </w:p>
        </w:tc>
      </w:tr>
      <w:tr w:rsidR="009128DD" w:rsidRPr="00845B5D" w14:paraId="1AB8F793" w14:textId="77777777" w:rsidTr="00E73929">
        <w:tc>
          <w:tcPr>
            <w:tcW w:w="1456" w:type="dxa"/>
            <w:shd w:val="clear" w:color="auto" w:fill="auto"/>
          </w:tcPr>
          <w:p w14:paraId="0DA443F2" w14:textId="77777777" w:rsidR="009128DD" w:rsidRPr="00845B5D" w:rsidRDefault="009128DD" w:rsidP="00A0760F">
            <w:pPr>
              <w:spacing w:after="120" w:line="240" w:lineRule="auto"/>
              <w:jc w:val="center"/>
              <w:rPr>
                <w:rFonts w:ascii="Times New Roman" w:hAnsi="Times New Roman" w:cs="Times New Roman"/>
                <w:b/>
                <w:bCs/>
                <w:sz w:val="24"/>
                <w:szCs w:val="24"/>
              </w:rPr>
            </w:pPr>
          </w:p>
        </w:tc>
        <w:tc>
          <w:tcPr>
            <w:tcW w:w="3251" w:type="dxa"/>
            <w:shd w:val="clear" w:color="auto" w:fill="auto"/>
          </w:tcPr>
          <w:p w14:paraId="71CF55E1" w14:textId="18A49FD8" w:rsidR="009128DD" w:rsidRPr="00845B5D" w:rsidRDefault="009128DD"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A1E9711" w14:textId="1F2B86FC" w:rsidR="009128DD" w:rsidRPr="00845B5D" w:rsidRDefault="00797D22"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5</w:t>
            </w:r>
          </w:p>
        </w:tc>
        <w:tc>
          <w:tcPr>
            <w:tcW w:w="3104" w:type="dxa"/>
          </w:tcPr>
          <w:p w14:paraId="42964A9B" w14:textId="3EDC031F" w:rsidR="009128DD" w:rsidRPr="00845B5D" w:rsidRDefault="00D747DB" w:rsidP="00124135">
            <w:pPr>
              <w:spacing w:after="120" w:line="240" w:lineRule="auto"/>
              <w:jc w:val="both"/>
              <w:rPr>
                <w:rStyle w:val="Izteiksmgs"/>
                <w:rFonts w:ascii="Times New Roman" w:hAnsi="Times New Roman" w:cs="Times New Roman"/>
                <w:b w:val="0"/>
                <w:sz w:val="24"/>
                <w:szCs w:val="24"/>
              </w:rPr>
            </w:pPr>
            <w:r>
              <w:rPr>
                <w:rFonts w:ascii="Times New Roman" w:hAnsi="Times New Roman" w:cs="Times New Roman"/>
                <w:bCs/>
                <w:sz w:val="24"/>
                <w:szCs w:val="24"/>
              </w:rPr>
              <w:t>P</w:t>
            </w:r>
            <w:r w:rsidR="00845B5D" w:rsidRPr="00845B5D">
              <w:rPr>
                <w:rFonts w:ascii="Times New Roman" w:hAnsi="Times New Roman" w:cs="Times New Roman"/>
                <w:bCs/>
                <w:sz w:val="24"/>
                <w:szCs w:val="24"/>
              </w:rPr>
              <w:t>iedāvātajam speciālistam ir augstākā izglītība sociālajā darbā vai karitatīvajā sociālajā darbā un iepriekšējo trīs gadu laikā (2016., 2017., 2018. vai 2019. gadā līdz piedāvājuma iesniegšanai)  ir pieredze sociālajā darbā ar personām ar garīga rakstura traucējumiem;</w:t>
            </w:r>
          </w:p>
        </w:tc>
      </w:tr>
      <w:tr w:rsidR="009128DD" w:rsidRPr="00845B5D" w14:paraId="0A9925D0" w14:textId="77777777" w:rsidTr="00E73929">
        <w:tc>
          <w:tcPr>
            <w:tcW w:w="1456" w:type="dxa"/>
            <w:shd w:val="clear" w:color="auto" w:fill="auto"/>
          </w:tcPr>
          <w:p w14:paraId="4E9C5077" w14:textId="77777777" w:rsidR="009128DD" w:rsidRPr="00845B5D" w:rsidRDefault="009128DD" w:rsidP="00A0760F">
            <w:pPr>
              <w:spacing w:after="120" w:line="240" w:lineRule="auto"/>
              <w:jc w:val="center"/>
              <w:rPr>
                <w:rFonts w:ascii="Times New Roman" w:hAnsi="Times New Roman" w:cs="Times New Roman"/>
                <w:b/>
                <w:bCs/>
                <w:sz w:val="24"/>
                <w:szCs w:val="24"/>
              </w:rPr>
            </w:pPr>
          </w:p>
        </w:tc>
        <w:tc>
          <w:tcPr>
            <w:tcW w:w="3251" w:type="dxa"/>
            <w:shd w:val="clear" w:color="auto" w:fill="auto"/>
          </w:tcPr>
          <w:p w14:paraId="5DC7D64C" w14:textId="62514AC7" w:rsidR="009128DD" w:rsidRPr="00845B5D" w:rsidRDefault="009128DD"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5674FF1E" w14:textId="360A12D9" w:rsidR="009128DD" w:rsidRPr="00845B5D" w:rsidRDefault="00A6274F"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2</w:t>
            </w:r>
          </w:p>
        </w:tc>
        <w:tc>
          <w:tcPr>
            <w:tcW w:w="3104" w:type="dxa"/>
          </w:tcPr>
          <w:p w14:paraId="616C161C" w14:textId="60CE6F97" w:rsidR="009128DD" w:rsidRPr="00845B5D" w:rsidRDefault="00D747DB" w:rsidP="00A0760F">
            <w:pPr>
              <w:spacing w:after="120" w:line="240" w:lineRule="auto"/>
              <w:jc w:val="both"/>
              <w:rPr>
                <w:rStyle w:val="Izteiksmgs"/>
                <w:rFonts w:ascii="Times New Roman" w:hAnsi="Times New Roman" w:cs="Times New Roman"/>
                <w:b w:val="0"/>
                <w:sz w:val="24"/>
                <w:szCs w:val="24"/>
              </w:rPr>
            </w:pPr>
            <w:r>
              <w:rPr>
                <w:rFonts w:ascii="Times New Roman" w:hAnsi="Times New Roman" w:cs="Times New Roman"/>
                <w:bCs/>
                <w:sz w:val="24"/>
                <w:szCs w:val="24"/>
              </w:rPr>
              <w:t>P</w:t>
            </w:r>
            <w:r w:rsidR="00845B5D" w:rsidRPr="00845B5D">
              <w:rPr>
                <w:rFonts w:ascii="Times New Roman" w:hAnsi="Times New Roman" w:cs="Times New Roman"/>
                <w:bCs/>
                <w:sz w:val="24"/>
                <w:szCs w:val="24"/>
              </w:rPr>
              <w:t>iedāvātajam speciālistam ir augstākā izglītība sociālajā darbā vai karitatīvajā sociālajā darbā un iepriekšējo trīs gadu laikā (2016., 2017., 2018. vai 2019. gadā līdz piedāvājuma iesniegšanai)</w:t>
            </w:r>
            <w:r w:rsidR="00124135">
              <w:rPr>
                <w:rFonts w:ascii="Times New Roman" w:hAnsi="Times New Roman" w:cs="Times New Roman"/>
                <w:bCs/>
                <w:sz w:val="24"/>
                <w:szCs w:val="24"/>
              </w:rPr>
              <w:t xml:space="preserve"> </w:t>
            </w:r>
            <w:r w:rsidR="00124135" w:rsidRPr="00D7720E">
              <w:rPr>
                <w:rFonts w:ascii="Times New Roman" w:hAnsi="Times New Roman" w:cs="Times New Roman"/>
                <w:bCs/>
                <w:sz w:val="24"/>
                <w:szCs w:val="24"/>
              </w:rPr>
              <w:t>ir pieredze sociālajā darbā</w:t>
            </w:r>
            <w:r w:rsidR="00845B5D" w:rsidRPr="00D7720E">
              <w:rPr>
                <w:rFonts w:ascii="Times New Roman" w:hAnsi="Times New Roman" w:cs="Times New Roman"/>
                <w:bCs/>
                <w:sz w:val="24"/>
                <w:szCs w:val="24"/>
              </w:rPr>
              <w:t>;</w:t>
            </w:r>
          </w:p>
        </w:tc>
      </w:tr>
      <w:tr w:rsidR="009128DD" w:rsidRPr="00845B5D" w14:paraId="7629BBFF" w14:textId="77777777" w:rsidTr="00E73929">
        <w:tc>
          <w:tcPr>
            <w:tcW w:w="1456" w:type="dxa"/>
            <w:shd w:val="clear" w:color="auto" w:fill="auto"/>
          </w:tcPr>
          <w:p w14:paraId="259D0D52" w14:textId="77777777" w:rsidR="009128DD" w:rsidRPr="00845B5D" w:rsidRDefault="009128DD" w:rsidP="00A0760F">
            <w:pPr>
              <w:spacing w:after="120" w:line="240" w:lineRule="auto"/>
              <w:jc w:val="center"/>
              <w:rPr>
                <w:rFonts w:ascii="Times New Roman" w:hAnsi="Times New Roman" w:cs="Times New Roman"/>
                <w:b/>
                <w:bCs/>
                <w:sz w:val="24"/>
                <w:szCs w:val="24"/>
              </w:rPr>
            </w:pPr>
          </w:p>
        </w:tc>
        <w:tc>
          <w:tcPr>
            <w:tcW w:w="3251" w:type="dxa"/>
            <w:shd w:val="clear" w:color="auto" w:fill="auto"/>
          </w:tcPr>
          <w:p w14:paraId="1514C867" w14:textId="531D20DD" w:rsidR="009128DD" w:rsidRPr="00845B5D" w:rsidRDefault="009128DD" w:rsidP="00A0760F">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5958C114" w14:textId="49E374F1" w:rsidR="009128DD" w:rsidRPr="00845B5D" w:rsidRDefault="00A6274F"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0</w:t>
            </w:r>
          </w:p>
        </w:tc>
        <w:tc>
          <w:tcPr>
            <w:tcW w:w="3104" w:type="dxa"/>
          </w:tcPr>
          <w:p w14:paraId="3CF3F5CE" w14:textId="1F829907" w:rsidR="009128DD" w:rsidRPr="00845B5D" w:rsidRDefault="00845B5D" w:rsidP="00A0760F">
            <w:pPr>
              <w:spacing w:after="120" w:line="240" w:lineRule="auto"/>
              <w:jc w:val="both"/>
              <w:rPr>
                <w:rStyle w:val="Izteiksmgs"/>
                <w:rFonts w:ascii="Times New Roman" w:hAnsi="Times New Roman" w:cs="Times New Roman"/>
                <w:b w:val="0"/>
                <w:sz w:val="24"/>
                <w:szCs w:val="24"/>
              </w:rPr>
            </w:pPr>
            <w:r w:rsidRPr="00845B5D">
              <w:rPr>
                <w:rFonts w:ascii="Times New Roman" w:hAnsi="Times New Roman" w:cs="Times New Roman"/>
                <w:bCs/>
                <w:sz w:val="24"/>
                <w:szCs w:val="24"/>
              </w:rPr>
              <w:t xml:space="preserve">Sociālā darba speciālista kvalifikācija un </w:t>
            </w:r>
            <w:r w:rsidRPr="00845B5D">
              <w:rPr>
                <w:rStyle w:val="Izteiksmgs"/>
                <w:rFonts w:ascii="Times New Roman" w:hAnsi="Times New Roman" w:cs="Times New Roman"/>
                <w:b w:val="0"/>
                <w:color w:val="000000"/>
                <w:sz w:val="24"/>
                <w:szCs w:val="24"/>
              </w:rPr>
              <w:t>pieredze neatbilst nevienam no iepriekš minētajiem aprakstiem.</w:t>
            </w:r>
          </w:p>
        </w:tc>
      </w:tr>
      <w:tr w:rsidR="004B09EF" w:rsidRPr="00845B5D" w14:paraId="0CB87EDF" w14:textId="77777777" w:rsidTr="00E73929">
        <w:tc>
          <w:tcPr>
            <w:tcW w:w="1456" w:type="dxa"/>
            <w:shd w:val="clear" w:color="auto" w:fill="auto"/>
          </w:tcPr>
          <w:p w14:paraId="03CBB053" w14:textId="4839DBB3" w:rsidR="00C23E45" w:rsidRPr="00845B5D" w:rsidRDefault="00C23E45"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lastRenderedPageBreak/>
              <w:t xml:space="preserve">K </w:t>
            </w:r>
            <w:r w:rsidR="00A6274F" w:rsidRPr="00845B5D">
              <w:rPr>
                <w:rFonts w:ascii="Times New Roman" w:hAnsi="Times New Roman" w:cs="Times New Roman"/>
                <w:b/>
                <w:bCs/>
                <w:sz w:val="24"/>
                <w:szCs w:val="24"/>
              </w:rPr>
              <w:t>4</w:t>
            </w:r>
          </w:p>
        </w:tc>
        <w:tc>
          <w:tcPr>
            <w:tcW w:w="3251" w:type="dxa"/>
            <w:shd w:val="clear" w:color="auto" w:fill="auto"/>
          </w:tcPr>
          <w:p w14:paraId="38381700" w14:textId="59B88DE5" w:rsidR="00C23E45" w:rsidRPr="00845B5D" w:rsidRDefault="00C23E45" w:rsidP="00A0760F">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 xml:space="preserve">Pretendenta un piedāvāto </w:t>
            </w:r>
            <w:r w:rsidR="007F09D8" w:rsidRPr="00845B5D">
              <w:rPr>
                <w:rFonts w:ascii="Times New Roman" w:eastAsia="Calibri" w:hAnsi="Times New Roman" w:cs="Times New Roman"/>
                <w:color w:val="000000"/>
                <w:kern w:val="24"/>
                <w:sz w:val="24"/>
                <w:szCs w:val="24"/>
                <w:lang w:eastAsia="lv-LV"/>
              </w:rPr>
              <w:t>speciālistu</w:t>
            </w:r>
            <w:r w:rsidRPr="00845B5D">
              <w:rPr>
                <w:rFonts w:ascii="Times New Roman" w:eastAsia="Calibri" w:hAnsi="Times New Roman" w:cs="Times New Roman"/>
                <w:color w:val="000000"/>
                <w:kern w:val="24"/>
                <w:sz w:val="24"/>
                <w:szCs w:val="24"/>
                <w:lang w:eastAsia="lv-LV"/>
              </w:rPr>
              <w:t xml:space="preserve"> prezentācija</w:t>
            </w:r>
          </w:p>
        </w:tc>
        <w:tc>
          <w:tcPr>
            <w:tcW w:w="1523" w:type="dxa"/>
            <w:shd w:val="clear" w:color="auto" w:fill="auto"/>
          </w:tcPr>
          <w:p w14:paraId="5AD73357" w14:textId="60D230AF" w:rsidR="00C23E45" w:rsidRPr="00845B5D" w:rsidRDefault="005604B7"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104" w:type="dxa"/>
          </w:tcPr>
          <w:p w14:paraId="0CD9705E" w14:textId="77777777" w:rsidR="00C23E45" w:rsidRPr="00845B5D" w:rsidRDefault="00C23E45" w:rsidP="00A0760F">
            <w:pPr>
              <w:spacing w:after="120" w:line="240" w:lineRule="auto"/>
              <w:jc w:val="both"/>
              <w:rPr>
                <w:rStyle w:val="Izteiksmgs"/>
                <w:rFonts w:ascii="Times New Roman" w:hAnsi="Times New Roman" w:cs="Times New Roman"/>
                <w:b w:val="0"/>
                <w:sz w:val="24"/>
                <w:szCs w:val="24"/>
              </w:rPr>
            </w:pPr>
          </w:p>
        </w:tc>
      </w:tr>
      <w:tr w:rsidR="007F09D8" w:rsidRPr="00845B5D" w14:paraId="0A3ECA18" w14:textId="77777777" w:rsidTr="00E73929">
        <w:tc>
          <w:tcPr>
            <w:tcW w:w="1456" w:type="dxa"/>
            <w:shd w:val="clear" w:color="auto" w:fill="auto"/>
          </w:tcPr>
          <w:p w14:paraId="131B6FB7" w14:textId="77777777" w:rsidR="007F09D8" w:rsidRPr="00845B5D" w:rsidRDefault="007F09D8" w:rsidP="00A0760F">
            <w:pPr>
              <w:spacing w:after="120" w:line="240" w:lineRule="auto"/>
              <w:jc w:val="center"/>
              <w:rPr>
                <w:rFonts w:ascii="Times New Roman" w:hAnsi="Times New Roman" w:cs="Times New Roman"/>
                <w:b/>
                <w:bCs/>
                <w:sz w:val="24"/>
                <w:szCs w:val="24"/>
              </w:rPr>
            </w:pPr>
          </w:p>
        </w:tc>
        <w:tc>
          <w:tcPr>
            <w:tcW w:w="3251" w:type="dxa"/>
            <w:shd w:val="clear" w:color="auto" w:fill="auto"/>
          </w:tcPr>
          <w:p w14:paraId="1E9975CE" w14:textId="1FEB8771" w:rsidR="007F09D8" w:rsidRPr="00845B5D" w:rsidRDefault="007F09D8" w:rsidP="007F09D8">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00492DC4" w14:textId="2DD1E61E" w:rsidR="007F09D8" w:rsidRPr="00845B5D" w:rsidRDefault="00845B5D" w:rsidP="00A0760F">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30</w:t>
            </w:r>
          </w:p>
        </w:tc>
        <w:tc>
          <w:tcPr>
            <w:tcW w:w="3104" w:type="dxa"/>
          </w:tcPr>
          <w:p w14:paraId="1C2A2D5E" w14:textId="77777777" w:rsidR="00D7720E" w:rsidRDefault="00845B5D" w:rsidP="00D7720E">
            <w:pPr>
              <w:spacing w:after="120" w:line="240" w:lineRule="auto"/>
              <w:jc w:val="both"/>
              <w:rPr>
                <w:rFonts w:ascii="Times New Roman" w:eastAsia="Calibri" w:hAnsi="Times New Roman" w:cs="Times New Roman"/>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tā pilnībā atklāj pretendenta izpratni par tehniskajā specifikācijā un pretendenta iesniegtajā piedāvājumā definēto apmācību</w:t>
            </w:r>
            <w:r w:rsidR="001A78B6">
              <w:rPr>
                <w:rFonts w:ascii="Times New Roman" w:eastAsia="Calibri" w:hAnsi="Times New Roman" w:cs="Times New Roman"/>
                <w:color w:val="000000"/>
                <w:kern w:val="24"/>
                <w:sz w:val="24"/>
                <w:szCs w:val="24"/>
                <w:lang w:eastAsia="lv-LV"/>
              </w:rPr>
              <w:t xml:space="preserve"> tēmu,</w:t>
            </w:r>
            <w:r w:rsidRPr="00845B5D">
              <w:rPr>
                <w:rFonts w:ascii="Times New Roman" w:eastAsia="Calibri" w:hAnsi="Times New Roman" w:cs="Times New Roman"/>
                <w:color w:val="000000"/>
                <w:kern w:val="24"/>
                <w:sz w:val="24"/>
                <w:szCs w:val="24"/>
                <w:lang w:eastAsia="lv-LV"/>
              </w:rPr>
              <w:t xml:space="preserve"> mērķi, mērķauditoriju, mācību metožu un mācību materiālu lietderību un pieredzi to izmantošanā. Tiek skaidri un saprotami raksturoti veicamie uzdevumi un sagaidāmie rezultāti, kā arī to sasniegšanas mērīšana. Ir skaidrs, kādi mācību materiāli tiks sagatavoti un kāds būs to saturs.</w:t>
            </w:r>
            <w:r w:rsidR="00D747DB">
              <w:rPr>
                <w:rFonts w:ascii="Times New Roman" w:eastAsia="Calibri" w:hAnsi="Times New Roman" w:cs="Times New Roman"/>
                <w:color w:val="000000"/>
                <w:kern w:val="24"/>
                <w:sz w:val="24"/>
                <w:szCs w:val="24"/>
                <w:lang w:eastAsia="lv-LV"/>
              </w:rPr>
              <w:t xml:space="preserve"> </w:t>
            </w:r>
            <w:r w:rsidR="00D7720E">
              <w:rPr>
                <w:rFonts w:ascii="Times New Roman" w:eastAsia="Calibri" w:hAnsi="Times New Roman" w:cs="Times New Roman"/>
                <w:color w:val="000000"/>
                <w:kern w:val="24"/>
                <w:sz w:val="24"/>
                <w:szCs w:val="24"/>
                <w:lang w:eastAsia="lv-LV"/>
              </w:rPr>
              <w:t xml:space="preserve">Prertendents </w:t>
            </w:r>
            <w:r w:rsidR="00D7720E" w:rsidRPr="00D7720E">
              <w:rPr>
                <w:rFonts w:ascii="Times New Roman" w:eastAsia="Calibri" w:hAnsi="Times New Roman" w:cs="Times New Roman"/>
                <w:color w:val="000000"/>
                <w:kern w:val="24"/>
                <w:sz w:val="24"/>
                <w:szCs w:val="24"/>
                <w:lang w:eastAsia="lv-LV"/>
              </w:rPr>
              <w:t>plāno</w:t>
            </w:r>
            <w:r w:rsidR="00D747DB" w:rsidRPr="00D7720E">
              <w:rPr>
                <w:rFonts w:ascii="Times New Roman" w:eastAsia="Calibri" w:hAnsi="Times New Roman" w:cs="Times New Roman"/>
                <w:color w:val="000000"/>
                <w:kern w:val="24"/>
                <w:sz w:val="24"/>
                <w:szCs w:val="24"/>
                <w:lang w:eastAsia="lv-LV"/>
              </w:rPr>
              <w:t xml:space="preserve"> izvēlēti</w:t>
            </w:r>
            <w:r w:rsidR="00D7720E" w:rsidRPr="00D7720E">
              <w:rPr>
                <w:rFonts w:ascii="Times New Roman" w:eastAsia="Calibri" w:hAnsi="Times New Roman" w:cs="Times New Roman"/>
                <w:color w:val="000000"/>
                <w:kern w:val="24"/>
                <w:sz w:val="24"/>
                <w:szCs w:val="24"/>
                <w:lang w:eastAsia="lv-LV"/>
              </w:rPr>
              <w:t>es</w:t>
            </w:r>
            <w:r w:rsidR="00D747DB">
              <w:rPr>
                <w:rFonts w:ascii="Times New Roman" w:eastAsia="Calibri" w:hAnsi="Times New Roman" w:cs="Times New Roman"/>
                <w:color w:val="000000"/>
                <w:kern w:val="24"/>
                <w:sz w:val="24"/>
                <w:szCs w:val="24"/>
                <w:lang w:eastAsia="lv-LV"/>
              </w:rPr>
              <w:t xml:space="preserve"> inovatīv</w:t>
            </w:r>
            <w:r w:rsidR="00D7720E">
              <w:rPr>
                <w:rFonts w:ascii="Times New Roman" w:eastAsia="Calibri" w:hAnsi="Times New Roman" w:cs="Times New Roman"/>
                <w:color w:val="000000"/>
                <w:kern w:val="24"/>
                <w:sz w:val="24"/>
                <w:szCs w:val="24"/>
                <w:lang w:eastAsia="lv-LV"/>
              </w:rPr>
              <w:t>us</w:t>
            </w:r>
            <w:r w:rsidR="00D747DB">
              <w:rPr>
                <w:rFonts w:ascii="Times New Roman" w:eastAsia="Calibri" w:hAnsi="Times New Roman" w:cs="Times New Roman"/>
                <w:color w:val="000000"/>
                <w:kern w:val="24"/>
                <w:sz w:val="24"/>
                <w:szCs w:val="24"/>
                <w:lang w:eastAsia="lv-LV"/>
              </w:rPr>
              <w:t xml:space="preserve"> mācību paņēmien</w:t>
            </w:r>
            <w:r w:rsidR="00D7720E">
              <w:rPr>
                <w:rFonts w:ascii="Times New Roman" w:eastAsia="Calibri" w:hAnsi="Times New Roman" w:cs="Times New Roman"/>
                <w:color w:val="000000"/>
                <w:kern w:val="24"/>
                <w:sz w:val="24"/>
                <w:szCs w:val="24"/>
                <w:lang w:eastAsia="lv-LV"/>
              </w:rPr>
              <w:t>us</w:t>
            </w:r>
            <w:r w:rsidR="00D747DB">
              <w:rPr>
                <w:rFonts w:ascii="Times New Roman" w:eastAsia="Calibri" w:hAnsi="Times New Roman" w:cs="Times New Roman"/>
                <w:color w:val="000000"/>
                <w:kern w:val="24"/>
                <w:sz w:val="24"/>
                <w:szCs w:val="24"/>
                <w:lang w:eastAsia="lv-LV"/>
              </w:rPr>
              <w:t xml:space="preserve"> un mācību materiāl</w:t>
            </w:r>
            <w:r w:rsidR="00D7720E">
              <w:rPr>
                <w:rFonts w:ascii="Times New Roman" w:eastAsia="Calibri" w:hAnsi="Times New Roman" w:cs="Times New Roman"/>
                <w:color w:val="000000"/>
                <w:kern w:val="24"/>
                <w:sz w:val="24"/>
                <w:szCs w:val="24"/>
                <w:lang w:eastAsia="lv-LV"/>
              </w:rPr>
              <w:t>us</w:t>
            </w:r>
            <w:r w:rsidR="001A78B6">
              <w:rPr>
                <w:rFonts w:ascii="Times New Roman" w:eastAsia="Calibri" w:hAnsi="Times New Roman" w:cs="Times New Roman"/>
                <w:color w:val="000000"/>
                <w:kern w:val="24"/>
                <w:sz w:val="24"/>
                <w:szCs w:val="24"/>
                <w:lang w:eastAsia="lv-LV"/>
              </w:rPr>
              <w:t xml:space="preserve">. </w:t>
            </w:r>
          </w:p>
          <w:p w14:paraId="126D6816" w14:textId="191B2300" w:rsidR="007F09D8" w:rsidRPr="00845B5D" w:rsidRDefault="00845B5D" w:rsidP="00D7720E">
            <w:pPr>
              <w:spacing w:after="120" w:line="240" w:lineRule="auto"/>
              <w:jc w:val="both"/>
              <w:rPr>
                <w:rStyle w:val="Izteiksmgs"/>
                <w:rFonts w:ascii="Times New Roman" w:hAnsi="Times New Roman" w:cs="Times New Roman"/>
                <w:b w:val="0"/>
                <w:sz w:val="24"/>
                <w:szCs w:val="24"/>
              </w:rPr>
            </w:pPr>
            <w:r w:rsidRPr="00845B5D">
              <w:rPr>
                <w:rFonts w:ascii="Times New Roman" w:eastAsia="Calibri" w:hAnsi="Times New Roman" w:cs="Times New Roman"/>
                <w:color w:val="000000"/>
                <w:kern w:val="24"/>
                <w:sz w:val="24"/>
                <w:szCs w:val="24"/>
                <w:lang w:eastAsia="lv-LV"/>
              </w:rPr>
              <w:t xml:space="preserve">Pretendents/ piesaistītie speciālisti skaidri un saprotami atbild uz </w:t>
            </w:r>
            <w:r w:rsidR="0093380F">
              <w:rPr>
                <w:rFonts w:ascii="Times New Roman" w:eastAsia="Calibri" w:hAnsi="Times New Roman" w:cs="Times New Roman"/>
                <w:color w:val="000000"/>
                <w:kern w:val="24"/>
                <w:sz w:val="24"/>
                <w:szCs w:val="24"/>
                <w:lang w:eastAsia="lv-LV"/>
              </w:rPr>
              <w:t xml:space="preserve">tirgus izpētes veicēja un </w:t>
            </w:r>
            <w:r w:rsidRPr="00845B5D">
              <w:rPr>
                <w:rFonts w:ascii="Times New Roman" w:eastAsia="Calibri" w:hAnsi="Times New Roman" w:cs="Times New Roman"/>
                <w:color w:val="000000"/>
                <w:kern w:val="24"/>
                <w:sz w:val="24"/>
                <w:szCs w:val="24"/>
                <w:lang w:eastAsia="lv-LV"/>
              </w:rPr>
              <w:t xml:space="preserve">pasūtītāju pārstāvju uzdotajiem jautājumiem, radot </w:t>
            </w:r>
            <w:r w:rsidR="0093380F">
              <w:rPr>
                <w:rFonts w:ascii="Times New Roman" w:eastAsia="Calibri" w:hAnsi="Times New Roman" w:cs="Times New Roman"/>
                <w:color w:val="000000"/>
                <w:kern w:val="24"/>
                <w:sz w:val="24"/>
                <w:szCs w:val="24"/>
                <w:lang w:eastAsia="lv-LV"/>
              </w:rPr>
              <w:t>tiem</w:t>
            </w:r>
            <w:r w:rsidRPr="00845B5D">
              <w:rPr>
                <w:rFonts w:ascii="Times New Roman" w:eastAsia="Calibri" w:hAnsi="Times New Roman" w:cs="Times New Roman"/>
                <w:color w:val="000000"/>
                <w:kern w:val="24"/>
                <w:sz w:val="24"/>
                <w:szCs w:val="24"/>
                <w:lang w:eastAsia="lv-LV"/>
              </w:rPr>
              <w:t xml:space="preserve"> pārliecību par pilnīgu tēmas, apmācību mērķa un mērķauditorijas izpratni un spēju sniegt kvalitatīvu pakalpojumu.</w:t>
            </w:r>
            <w:r w:rsidR="00D747DB">
              <w:rPr>
                <w:rFonts w:ascii="Times New Roman" w:eastAsia="Calibri" w:hAnsi="Times New Roman" w:cs="Times New Roman"/>
                <w:color w:val="000000"/>
                <w:kern w:val="24"/>
                <w:sz w:val="24"/>
                <w:szCs w:val="24"/>
                <w:lang w:eastAsia="lv-LV"/>
              </w:rPr>
              <w:t xml:space="preserve"> </w:t>
            </w:r>
          </w:p>
        </w:tc>
      </w:tr>
      <w:tr w:rsidR="00845B5D" w:rsidRPr="00845B5D" w14:paraId="272A8197" w14:textId="77777777" w:rsidTr="00E73929">
        <w:tc>
          <w:tcPr>
            <w:tcW w:w="1456" w:type="dxa"/>
            <w:shd w:val="clear" w:color="auto" w:fill="auto"/>
          </w:tcPr>
          <w:p w14:paraId="380FB02C" w14:textId="77777777" w:rsidR="00845B5D" w:rsidRPr="00845B5D" w:rsidRDefault="00845B5D" w:rsidP="00845B5D">
            <w:pPr>
              <w:spacing w:after="120" w:line="240" w:lineRule="auto"/>
              <w:jc w:val="center"/>
              <w:rPr>
                <w:rFonts w:ascii="Times New Roman" w:hAnsi="Times New Roman" w:cs="Times New Roman"/>
                <w:b/>
                <w:bCs/>
                <w:sz w:val="24"/>
                <w:szCs w:val="24"/>
              </w:rPr>
            </w:pPr>
          </w:p>
        </w:tc>
        <w:tc>
          <w:tcPr>
            <w:tcW w:w="3251" w:type="dxa"/>
            <w:shd w:val="clear" w:color="auto" w:fill="auto"/>
          </w:tcPr>
          <w:p w14:paraId="4CE6639F" w14:textId="77777777" w:rsidR="00845B5D" w:rsidRPr="00845B5D" w:rsidRDefault="00845B5D" w:rsidP="00845B5D">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D88AA39" w14:textId="0C3BE831" w:rsidR="00845B5D" w:rsidRPr="00845B5D" w:rsidRDefault="00845B5D" w:rsidP="00845B5D">
            <w:pPr>
              <w:spacing w:after="120" w:line="240" w:lineRule="auto"/>
              <w:jc w:val="center"/>
              <w:rPr>
                <w:rFonts w:ascii="Times New Roman" w:hAnsi="Times New Roman" w:cs="Times New Roman"/>
                <w:b/>
                <w:bCs/>
                <w:sz w:val="24"/>
                <w:szCs w:val="24"/>
              </w:rPr>
            </w:pPr>
            <w:r w:rsidRPr="00845B5D">
              <w:rPr>
                <w:rFonts w:ascii="Times New Roman" w:hAnsi="Times New Roman" w:cs="Times New Roman"/>
                <w:b/>
                <w:bCs/>
                <w:sz w:val="24"/>
                <w:szCs w:val="24"/>
              </w:rPr>
              <w:t>15</w:t>
            </w:r>
          </w:p>
        </w:tc>
        <w:tc>
          <w:tcPr>
            <w:tcW w:w="3104" w:type="dxa"/>
          </w:tcPr>
          <w:p w14:paraId="3EF70FEB" w14:textId="701D4809" w:rsidR="00845B5D" w:rsidRPr="001A78B6" w:rsidRDefault="00845B5D" w:rsidP="00D747DB">
            <w:pPr>
              <w:spacing w:after="120" w:line="240" w:lineRule="auto"/>
              <w:jc w:val="both"/>
              <w:rPr>
                <w:rStyle w:val="Izteiksmgs"/>
                <w:rFonts w:ascii="Times New Roman" w:eastAsia="Calibri" w:hAnsi="Times New Roman" w:cs="Times New Roman"/>
                <w:b w:val="0"/>
                <w:bCs w:val="0"/>
                <w:color w:val="000000"/>
                <w:kern w:val="24"/>
                <w:sz w:val="24"/>
                <w:szCs w:val="24"/>
                <w:lang w:eastAsia="lv-LV"/>
              </w:rPr>
            </w:pPr>
            <w:r w:rsidRPr="00845B5D">
              <w:rPr>
                <w:rFonts w:ascii="Times New Roman" w:eastAsia="Calibri" w:hAnsi="Times New Roman" w:cs="Times New Roman"/>
                <w:color w:val="000000"/>
                <w:kern w:val="24"/>
                <w:sz w:val="24"/>
                <w:szCs w:val="24"/>
                <w:lang w:eastAsia="lv-LV"/>
              </w:rPr>
              <w:t>Prezentācija atbilst iesniegtajam piedāvājumam, paskaidro to, atklāj pretendenta izpratni par tehniskajā specifikācijā un pretendenta iesniegtajā piedāvājumā definēto apmācību mērķi, mērķauditoriju, mācību met</w:t>
            </w:r>
            <w:r w:rsidR="007D4DEA">
              <w:rPr>
                <w:rFonts w:ascii="Times New Roman" w:eastAsia="Calibri" w:hAnsi="Times New Roman" w:cs="Times New Roman"/>
                <w:color w:val="000000"/>
                <w:kern w:val="24"/>
                <w:sz w:val="24"/>
                <w:szCs w:val="24"/>
                <w:lang w:eastAsia="lv-LV"/>
              </w:rPr>
              <w:t xml:space="preserve">odes </w:t>
            </w:r>
            <w:r w:rsidR="00D747DB">
              <w:rPr>
                <w:rFonts w:ascii="Times New Roman" w:eastAsia="Calibri" w:hAnsi="Times New Roman" w:cs="Times New Roman"/>
                <w:color w:val="000000"/>
                <w:kern w:val="24"/>
                <w:sz w:val="24"/>
                <w:szCs w:val="24"/>
                <w:lang w:eastAsia="lv-LV"/>
              </w:rPr>
              <w:t xml:space="preserve">un </w:t>
            </w:r>
            <w:r w:rsidR="005F2AA7">
              <w:rPr>
                <w:rFonts w:ascii="Times New Roman" w:eastAsia="Calibri" w:hAnsi="Times New Roman" w:cs="Times New Roman"/>
                <w:color w:val="000000"/>
                <w:kern w:val="24"/>
                <w:sz w:val="24"/>
                <w:szCs w:val="24"/>
                <w:lang w:eastAsia="lv-LV"/>
              </w:rPr>
              <w:t>plānotos</w:t>
            </w:r>
            <w:r w:rsidR="00D747DB">
              <w:rPr>
                <w:rFonts w:ascii="Times New Roman" w:eastAsia="Calibri" w:hAnsi="Times New Roman" w:cs="Times New Roman"/>
                <w:color w:val="000000"/>
                <w:kern w:val="24"/>
                <w:sz w:val="24"/>
                <w:szCs w:val="24"/>
                <w:lang w:eastAsia="lv-LV"/>
              </w:rPr>
              <w:t xml:space="preserve"> mācību materiāl</w:t>
            </w:r>
            <w:r w:rsidR="005F2AA7">
              <w:rPr>
                <w:rFonts w:ascii="Times New Roman" w:eastAsia="Calibri" w:hAnsi="Times New Roman" w:cs="Times New Roman"/>
                <w:color w:val="000000"/>
                <w:kern w:val="24"/>
                <w:sz w:val="24"/>
                <w:szCs w:val="24"/>
                <w:lang w:eastAsia="lv-LV"/>
              </w:rPr>
              <w:t>us</w:t>
            </w:r>
            <w:r w:rsidR="00D747DB">
              <w:rPr>
                <w:rFonts w:ascii="Times New Roman" w:eastAsia="Calibri" w:hAnsi="Times New Roman" w:cs="Times New Roman"/>
                <w:color w:val="000000"/>
                <w:kern w:val="24"/>
                <w:sz w:val="24"/>
                <w:szCs w:val="24"/>
                <w:lang w:eastAsia="lv-LV"/>
              </w:rPr>
              <w:t>.</w:t>
            </w:r>
            <w:r w:rsidR="007D4DEA">
              <w:rPr>
                <w:rFonts w:ascii="Times New Roman" w:eastAsia="Calibri" w:hAnsi="Times New Roman" w:cs="Times New Roman"/>
                <w:color w:val="000000"/>
                <w:kern w:val="24"/>
                <w:sz w:val="24"/>
                <w:szCs w:val="24"/>
                <w:lang w:eastAsia="lv-LV"/>
              </w:rPr>
              <w:t xml:space="preserve"> </w:t>
            </w:r>
            <w:r w:rsidR="001A78B6">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No sniegtās prezentācijas ir secināms, ka pretendents tikai daļēji izprot</w:t>
            </w:r>
            <w:r w:rsidR="00845A97">
              <w:rPr>
                <w:rFonts w:ascii="Times New Roman" w:eastAsia="Calibri" w:hAnsi="Times New Roman" w:cs="Times New Roman"/>
                <w:color w:val="000000"/>
                <w:kern w:val="24"/>
                <w:sz w:val="24"/>
                <w:szCs w:val="24"/>
                <w:lang w:eastAsia="lv-LV"/>
              </w:rPr>
              <w:t xml:space="preserve"> apmācību mērķi, piedāvātas mācību metodes un/vai </w:t>
            </w:r>
            <w:r w:rsidR="00845A97">
              <w:rPr>
                <w:rFonts w:ascii="Times New Roman" w:eastAsia="Calibri" w:hAnsi="Times New Roman" w:cs="Times New Roman"/>
                <w:color w:val="000000"/>
                <w:kern w:val="24"/>
                <w:sz w:val="24"/>
                <w:szCs w:val="24"/>
                <w:lang w:eastAsia="lv-LV"/>
              </w:rPr>
              <w:lastRenderedPageBreak/>
              <w:t>mācību materiāli</w:t>
            </w:r>
            <w:r w:rsidR="00644E28">
              <w:rPr>
                <w:rFonts w:ascii="Times New Roman" w:eastAsia="Calibri" w:hAnsi="Times New Roman" w:cs="Times New Roman"/>
                <w:color w:val="000000"/>
                <w:kern w:val="24"/>
                <w:sz w:val="24"/>
                <w:szCs w:val="24"/>
                <w:lang w:eastAsia="lv-LV"/>
              </w:rPr>
              <w:t xml:space="preserve"> nav inovatīvi</w:t>
            </w:r>
            <w:r w:rsidR="00845A97">
              <w:rPr>
                <w:rFonts w:ascii="Times New Roman" w:eastAsia="Calibri" w:hAnsi="Times New Roman" w:cs="Times New Roman"/>
                <w:color w:val="000000"/>
                <w:kern w:val="24"/>
                <w:sz w:val="24"/>
                <w:szCs w:val="24"/>
                <w:lang w:eastAsia="lv-LV"/>
              </w:rPr>
              <w:t xml:space="preserve">. </w:t>
            </w:r>
            <w:r w:rsidR="001E18FB">
              <w:rPr>
                <w:rFonts w:ascii="Times New Roman" w:eastAsia="Calibri" w:hAnsi="Times New Roman" w:cs="Times New Roman"/>
                <w:color w:val="000000"/>
                <w:kern w:val="24"/>
                <w:sz w:val="24"/>
                <w:szCs w:val="24"/>
                <w:lang w:eastAsia="lv-LV"/>
              </w:rPr>
              <w:t xml:space="preserve"> </w:t>
            </w:r>
            <w:r w:rsidRPr="00845B5D">
              <w:rPr>
                <w:rFonts w:ascii="Times New Roman" w:eastAsia="Calibri" w:hAnsi="Times New Roman" w:cs="Times New Roman"/>
                <w:color w:val="000000"/>
                <w:kern w:val="24"/>
                <w:sz w:val="24"/>
                <w:szCs w:val="24"/>
                <w:lang w:eastAsia="lv-LV"/>
              </w:rPr>
              <w:t xml:space="preserve">Pretendents/piesaistītie speciālisti skaidri un saprotami atbild uz </w:t>
            </w:r>
            <w:r w:rsidR="00235F7A">
              <w:rPr>
                <w:rFonts w:ascii="Times New Roman" w:eastAsia="Calibri" w:hAnsi="Times New Roman" w:cs="Times New Roman"/>
                <w:color w:val="000000"/>
                <w:kern w:val="24"/>
                <w:sz w:val="24"/>
                <w:szCs w:val="24"/>
                <w:lang w:eastAsia="lv-LV"/>
              </w:rPr>
              <w:t xml:space="preserve">tirgus izpētes veicēja un </w:t>
            </w:r>
            <w:r w:rsidRPr="00845B5D">
              <w:rPr>
                <w:rFonts w:ascii="Times New Roman" w:eastAsia="Calibri" w:hAnsi="Times New Roman" w:cs="Times New Roman"/>
                <w:color w:val="000000"/>
                <w:kern w:val="24"/>
                <w:sz w:val="24"/>
                <w:szCs w:val="24"/>
                <w:lang w:eastAsia="lv-LV"/>
              </w:rPr>
              <w:t>pasūtītāju pārstāvju uzdotajiem jautājumiem, izskaidrojot prezentācijā sniegto informāciju</w:t>
            </w:r>
            <w:r w:rsidR="00644E28">
              <w:rPr>
                <w:rFonts w:ascii="Times New Roman" w:eastAsia="Calibri" w:hAnsi="Times New Roman" w:cs="Times New Roman"/>
                <w:color w:val="000000"/>
                <w:kern w:val="24"/>
                <w:sz w:val="24"/>
                <w:szCs w:val="24"/>
                <w:lang w:eastAsia="lv-LV"/>
              </w:rPr>
              <w:t xml:space="preserve">, taču </w:t>
            </w:r>
            <w:r w:rsidR="00644E28" w:rsidRPr="00845B5D">
              <w:rPr>
                <w:rFonts w:ascii="Times New Roman" w:eastAsia="Calibri" w:hAnsi="Times New Roman" w:cs="Times New Roman"/>
                <w:color w:val="000000"/>
                <w:kern w:val="24"/>
                <w:sz w:val="24"/>
                <w:szCs w:val="24"/>
                <w:lang w:eastAsia="lv-LV"/>
              </w:rPr>
              <w:t xml:space="preserve">radot </w:t>
            </w:r>
            <w:r w:rsidR="00644E28">
              <w:rPr>
                <w:rFonts w:ascii="Times New Roman" w:eastAsia="Calibri" w:hAnsi="Times New Roman" w:cs="Times New Roman"/>
                <w:color w:val="000000"/>
                <w:kern w:val="24"/>
                <w:sz w:val="24"/>
                <w:szCs w:val="24"/>
                <w:lang w:eastAsia="lv-LV"/>
              </w:rPr>
              <w:t>tiem</w:t>
            </w:r>
            <w:r w:rsidR="00644E28" w:rsidRPr="00845B5D">
              <w:rPr>
                <w:rFonts w:ascii="Times New Roman" w:eastAsia="Calibri" w:hAnsi="Times New Roman" w:cs="Times New Roman"/>
                <w:color w:val="000000"/>
                <w:kern w:val="24"/>
                <w:sz w:val="24"/>
                <w:szCs w:val="24"/>
                <w:lang w:eastAsia="lv-LV"/>
              </w:rPr>
              <w:t xml:space="preserve"> </w:t>
            </w:r>
            <w:r w:rsidR="00644E28">
              <w:rPr>
                <w:rFonts w:ascii="Times New Roman" w:eastAsia="Calibri" w:hAnsi="Times New Roman" w:cs="Times New Roman"/>
                <w:color w:val="000000"/>
                <w:kern w:val="24"/>
                <w:sz w:val="24"/>
                <w:szCs w:val="24"/>
                <w:lang w:eastAsia="lv-LV"/>
              </w:rPr>
              <w:t>priekšstatu, ka kvalitatīv</w:t>
            </w:r>
            <w:r w:rsidR="009F5C80">
              <w:rPr>
                <w:rFonts w:ascii="Times New Roman" w:eastAsia="Calibri" w:hAnsi="Times New Roman" w:cs="Times New Roman"/>
                <w:color w:val="000000"/>
                <w:kern w:val="24"/>
                <w:sz w:val="24"/>
                <w:szCs w:val="24"/>
                <w:lang w:eastAsia="lv-LV"/>
              </w:rPr>
              <w:t>a</w:t>
            </w:r>
            <w:r w:rsidR="00644E28" w:rsidRPr="00845B5D">
              <w:rPr>
                <w:rFonts w:ascii="Times New Roman" w:eastAsia="Calibri" w:hAnsi="Times New Roman" w:cs="Times New Roman"/>
                <w:color w:val="000000"/>
                <w:kern w:val="24"/>
                <w:sz w:val="24"/>
                <w:szCs w:val="24"/>
                <w:lang w:eastAsia="lv-LV"/>
              </w:rPr>
              <w:t xml:space="preserve"> pakalpojum</w:t>
            </w:r>
            <w:r w:rsidR="00644E28">
              <w:rPr>
                <w:rFonts w:ascii="Times New Roman" w:eastAsia="Calibri" w:hAnsi="Times New Roman" w:cs="Times New Roman"/>
                <w:color w:val="000000"/>
                <w:kern w:val="24"/>
                <w:sz w:val="24"/>
                <w:szCs w:val="24"/>
                <w:lang w:eastAsia="lv-LV"/>
              </w:rPr>
              <w:t>a rezultāt</w:t>
            </w:r>
            <w:r w:rsidR="009F5C80">
              <w:rPr>
                <w:rFonts w:ascii="Times New Roman" w:eastAsia="Calibri" w:hAnsi="Times New Roman" w:cs="Times New Roman"/>
                <w:color w:val="000000"/>
                <w:kern w:val="24"/>
                <w:sz w:val="24"/>
                <w:szCs w:val="24"/>
                <w:lang w:eastAsia="lv-LV"/>
              </w:rPr>
              <w:t>a saņemšanā būs nepieciešama būtiska pasūtītāja iesaiste un kompetence</w:t>
            </w:r>
            <w:r w:rsidR="00644E28" w:rsidRPr="00845B5D">
              <w:rPr>
                <w:rFonts w:ascii="Times New Roman" w:eastAsia="Calibri" w:hAnsi="Times New Roman" w:cs="Times New Roman"/>
                <w:color w:val="000000"/>
                <w:kern w:val="24"/>
                <w:sz w:val="24"/>
                <w:szCs w:val="24"/>
                <w:lang w:eastAsia="lv-LV"/>
              </w:rPr>
              <w:t>.</w:t>
            </w:r>
            <w:r w:rsidR="00644E28">
              <w:rPr>
                <w:rFonts w:ascii="Times New Roman" w:eastAsia="Calibri" w:hAnsi="Times New Roman" w:cs="Times New Roman"/>
                <w:color w:val="000000"/>
                <w:kern w:val="24"/>
                <w:sz w:val="24"/>
                <w:szCs w:val="24"/>
                <w:lang w:eastAsia="lv-LV"/>
              </w:rPr>
              <w:t xml:space="preserve"> </w:t>
            </w:r>
            <w:r w:rsidR="00D747DB">
              <w:rPr>
                <w:rFonts w:ascii="Times New Roman" w:eastAsia="Calibri" w:hAnsi="Times New Roman" w:cs="Times New Roman"/>
                <w:color w:val="000000"/>
                <w:kern w:val="24"/>
                <w:sz w:val="24"/>
                <w:szCs w:val="24"/>
                <w:lang w:eastAsia="lv-LV"/>
              </w:rPr>
              <w:t xml:space="preserve"> </w:t>
            </w:r>
          </w:p>
        </w:tc>
      </w:tr>
      <w:tr w:rsidR="001A78B6" w:rsidRPr="00845B5D" w14:paraId="05780E5A" w14:textId="77777777" w:rsidTr="00E73929">
        <w:tc>
          <w:tcPr>
            <w:tcW w:w="1456" w:type="dxa"/>
            <w:shd w:val="clear" w:color="auto" w:fill="auto"/>
          </w:tcPr>
          <w:p w14:paraId="0588DD46" w14:textId="77777777" w:rsidR="001A78B6" w:rsidRPr="00845B5D" w:rsidRDefault="001A78B6" w:rsidP="001A78B6">
            <w:pPr>
              <w:spacing w:after="120" w:line="240" w:lineRule="auto"/>
              <w:jc w:val="center"/>
              <w:rPr>
                <w:rFonts w:ascii="Times New Roman" w:hAnsi="Times New Roman" w:cs="Times New Roman"/>
                <w:b/>
                <w:bCs/>
                <w:sz w:val="24"/>
                <w:szCs w:val="24"/>
              </w:rPr>
            </w:pPr>
          </w:p>
        </w:tc>
        <w:tc>
          <w:tcPr>
            <w:tcW w:w="3251" w:type="dxa"/>
            <w:shd w:val="clear" w:color="auto" w:fill="auto"/>
          </w:tcPr>
          <w:p w14:paraId="6E9D8C2F" w14:textId="77777777" w:rsidR="001A78B6" w:rsidRPr="00845B5D" w:rsidRDefault="001A78B6" w:rsidP="001A78B6">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2D17EB66" w14:textId="5E52F181" w:rsidR="001A78B6" w:rsidRPr="00845B5D" w:rsidRDefault="00AA05C3"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3104" w:type="dxa"/>
          </w:tcPr>
          <w:p w14:paraId="09AE7981" w14:textId="30917E4F" w:rsidR="001A78B6" w:rsidRPr="00845B5D" w:rsidRDefault="001A78B6" w:rsidP="001A78B6">
            <w:pPr>
              <w:spacing w:after="120" w:line="240" w:lineRule="auto"/>
              <w:jc w:val="both"/>
              <w:rPr>
                <w:rStyle w:val="Izteiksmgs"/>
                <w:rFonts w:ascii="Times New Roman" w:hAnsi="Times New Roman" w:cs="Times New Roman"/>
                <w:b w:val="0"/>
                <w:sz w:val="24"/>
                <w:szCs w:val="24"/>
              </w:rPr>
            </w:pPr>
            <w:r w:rsidRPr="00845B5D">
              <w:rPr>
                <w:rFonts w:ascii="Times New Roman" w:eastAsia="Calibri" w:hAnsi="Times New Roman" w:cs="Times New Roman"/>
                <w:color w:val="000000"/>
                <w:kern w:val="24"/>
                <w:sz w:val="24"/>
                <w:szCs w:val="24"/>
                <w:lang w:eastAsia="lv-LV"/>
              </w:rPr>
              <w:t>Prezentācija atbilst iesniegtajam piedāvājumam, paskaidro to</w:t>
            </w:r>
            <w:r>
              <w:rPr>
                <w:rFonts w:ascii="Times New Roman" w:eastAsia="Calibri" w:hAnsi="Times New Roman" w:cs="Times New Roman"/>
                <w:color w:val="000000"/>
                <w:kern w:val="24"/>
                <w:sz w:val="24"/>
                <w:szCs w:val="24"/>
                <w:lang w:eastAsia="lv-LV"/>
              </w:rPr>
              <w:t xml:space="preserve">. Prezentācija </w:t>
            </w:r>
            <w:r w:rsidRPr="00845B5D">
              <w:rPr>
                <w:rFonts w:ascii="Times New Roman" w:eastAsia="Calibri" w:hAnsi="Times New Roman" w:cs="Times New Roman"/>
                <w:color w:val="000000"/>
                <w:kern w:val="24"/>
                <w:sz w:val="24"/>
                <w:szCs w:val="24"/>
                <w:lang w:eastAsia="lv-LV"/>
              </w:rPr>
              <w:t xml:space="preserve"> </w:t>
            </w:r>
            <w:r>
              <w:rPr>
                <w:rFonts w:ascii="Times New Roman" w:eastAsia="Calibri" w:hAnsi="Times New Roman" w:cs="Times New Roman"/>
                <w:color w:val="000000"/>
                <w:kern w:val="24"/>
                <w:sz w:val="24"/>
                <w:szCs w:val="24"/>
                <w:lang w:eastAsia="lv-LV"/>
              </w:rPr>
              <w:t xml:space="preserve">un piedāvājums, norāda uz to, ka </w:t>
            </w:r>
            <w:r w:rsidRPr="00845B5D">
              <w:rPr>
                <w:rFonts w:ascii="Times New Roman" w:eastAsia="Calibri" w:hAnsi="Times New Roman" w:cs="Times New Roman"/>
                <w:color w:val="000000"/>
                <w:kern w:val="24"/>
                <w:sz w:val="24"/>
                <w:szCs w:val="24"/>
                <w:lang w:eastAsia="lv-LV"/>
              </w:rPr>
              <w:t>pretendenta izpratn</w:t>
            </w:r>
            <w:r>
              <w:rPr>
                <w:rFonts w:ascii="Times New Roman" w:eastAsia="Calibri" w:hAnsi="Times New Roman" w:cs="Times New Roman"/>
                <w:color w:val="000000"/>
                <w:kern w:val="24"/>
                <w:sz w:val="24"/>
                <w:szCs w:val="24"/>
                <w:lang w:eastAsia="lv-LV"/>
              </w:rPr>
              <w:t>e</w:t>
            </w:r>
            <w:r w:rsidRPr="00845B5D">
              <w:rPr>
                <w:rFonts w:ascii="Times New Roman" w:eastAsia="Calibri" w:hAnsi="Times New Roman" w:cs="Times New Roman"/>
                <w:color w:val="000000"/>
                <w:kern w:val="24"/>
                <w:sz w:val="24"/>
                <w:szCs w:val="24"/>
                <w:lang w:eastAsia="lv-LV"/>
              </w:rPr>
              <w:t xml:space="preserve"> par tehniskajā specifikācijā definēto apmācību </w:t>
            </w:r>
            <w:r>
              <w:rPr>
                <w:rFonts w:ascii="Times New Roman" w:eastAsia="Calibri" w:hAnsi="Times New Roman" w:cs="Times New Roman"/>
                <w:color w:val="000000"/>
                <w:kern w:val="24"/>
                <w:sz w:val="24"/>
                <w:szCs w:val="24"/>
                <w:lang w:eastAsia="lv-LV"/>
              </w:rPr>
              <w:t xml:space="preserve">tēmu, </w:t>
            </w:r>
            <w:r w:rsidRPr="00845B5D">
              <w:rPr>
                <w:rFonts w:ascii="Times New Roman" w:eastAsia="Calibri" w:hAnsi="Times New Roman" w:cs="Times New Roman"/>
                <w:color w:val="000000"/>
                <w:kern w:val="24"/>
                <w:sz w:val="24"/>
                <w:szCs w:val="24"/>
                <w:lang w:eastAsia="lv-LV"/>
              </w:rPr>
              <w:t>mērķi</w:t>
            </w:r>
            <w:r>
              <w:rPr>
                <w:rFonts w:ascii="Times New Roman" w:eastAsia="Calibri" w:hAnsi="Times New Roman" w:cs="Times New Roman"/>
                <w:color w:val="000000"/>
                <w:kern w:val="24"/>
                <w:sz w:val="24"/>
                <w:szCs w:val="24"/>
                <w:lang w:eastAsia="lv-LV"/>
              </w:rPr>
              <w:t xml:space="preserve"> un</w:t>
            </w:r>
            <w:r w:rsidRPr="00845B5D">
              <w:rPr>
                <w:rFonts w:ascii="Times New Roman" w:eastAsia="Calibri" w:hAnsi="Times New Roman" w:cs="Times New Roman"/>
                <w:color w:val="000000"/>
                <w:kern w:val="24"/>
                <w:sz w:val="24"/>
                <w:szCs w:val="24"/>
                <w:lang w:eastAsia="lv-LV"/>
              </w:rPr>
              <w:t xml:space="preserve"> mērķauditoriju</w:t>
            </w:r>
            <w:r>
              <w:rPr>
                <w:rFonts w:ascii="Times New Roman" w:eastAsia="Calibri" w:hAnsi="Times New Roman" w:cs="Times New Roman"/>
                <w:color w:val="000000"/>
                <w:kern w:val="24"/>
                <w:sz w:val="24"/>
                <w:szCs w:val="24"/>
                <w:lang w:eastAsia="lv-LV"/>
              </w:rPr>
              <w:t xml:space="preserve"> ir virspusēja. Norādītas tradicionālas</w:t>
            </w:r>
            <w:r w:rsidRPr="00845B5D">
              <w:rPr>
                <w:rFonts w:ascii="Times New Roman" w:eastAsia="Calibri" w:hAnsi="Times New Roman" w:cs="Times New Roman"/>
                <w:color w:val="000000"/>
                <w:kern w:val="24"/>
                <w:sz w:val="24"/>
                <w:szCs w:val="24"/>
                <w:lang w:eastAsia="lv-LV"/>
              </w:rPr>
              <w:t xml:space="preserve"> mācību meto</w:t>
            </w:r>
            <w:r>
              <w:rPr>
                <w:rFonts w:ascii="Times New Roman" w:eastAsia="Calibri" w:hAnsi="Times New Roman" w:cs="Times New Roman"/>
                <w:color w:val="000000"/>
                <w:kern w:val="24"/>
                <w:sz w:val="24"/>
                <w:szCs w:val="24"/>
                <w:lang w:eastAsia="lv-LV"/>
              </w:rPr>
              <w:t>des</w:t>
            </w:r>
            <w:r w:rsidRPr="00845B5D">
              <w:rPr>
                <w:rFonts w:ascii="Times New Roman" w:eastAsia="Calibri" w:hAnsi="Times New Roman" w:cs="Times New Roman"/>
                <w:color w:val="000000"/>
                <w:kern w:val="24"/>
                <w:sz w:val="24"/>
                <w:szCs w:val="24"/>
                <w:lang w:eastAsia="lv-LV"/>
              </w:rPr>
              <w:t xml:space="preserve"> </w:t>
            </w:r>
            <w:r>
              <w:rPr>
                <w:rFonts w:ascii="Times New Roman" w:eastAsia="Calibri" w:hAnsi="Times New Roman" w:cs="Times New Roman"/>
                <w:color w:val="000000"/>
                <w:kern w:val="24"/>
                <w:sz w:val="24"/>
                <w:szCs w:val="24"/>
                <w:lang w:eastAsia="lv-LV"/>
              </w:rPr>
              <w:t xml:space="preserve">un izstrādājamie mācību materiāli. Mācību materiālu saturs nav definēts, ir tikai vispārīga vīzija. </w:t>
            </w:r>
            <w:r w:rsidRPr="00845B5D">
              <w:rPr>
                <w:rFonts w:ascii="Times New Roman" w:eastAsia="Calibri" w:hAnsi="Times New Roman" w:cs="Times New Roman"/>
                <w:color w:val="000000"/>
                <w:kern w:val="24"/>
                <w:sz w:val="24"/>
                <w:szCs w:val="24"/>
                <w:lang w:eastAsia="lv-LV"/>
              </w:rPr>
              <w:t>Pretendents/piesaistītie speciālisti</w:t>
            </w:r>
            <w:r>
              <w:rPr>
                <w:rFonts w:ascii="Times New Roman" w:eastAsia="Calibri" w:hAnsi="Times New Roman" w:cs="Times New Roman"/>
                <w:color w:val="000000"/>
                <w:kern w:val="24"/>
                <w:sz w:val="24"/>
                <w:szCs w:val="24"/>
                <w:lang w:eastAsia="lv-LV"/>
              </w:rPr>
              <w:t xml:space="preserve"> sniedz daļējas</w:t>
            </w:r>
            <w:r w:rsidRPr="00845B5D">
              <w:rPr>
                <w:rFonts w:ascii="Times New Roman" w:eastAsia="Calibri" w:hAnsi="Times New Roman" w:cs="Times New Roman"/>
                <w:color w:val="000000"/>
                <w:kern w:val="24"/>
                <w:sz w:val="24"/>
                <w:szCs w:val="24"/>
                <w:lang w:eastAsia="lv-LV"/>
              </w:rPr>
              <w:t xml:space="preserve"> atbild</w:t>
            </w:r>
            <w:r>
              <w:rPr>
                <w:rFonts w:ascii="Times New Roman" w:eastAsia="Calibri" w:hAnsi="Times New Roman" w:cs="Times New Roman"/>
                <w:color w:val="000000"/>
                <w:kern w:val="24"/>
                <w:sz w:val="24"/>
                <w:szCs w:val="24"/>
                <w:lang w:eastAsia="lv-LV"/>
              </w:rPr>
              <w:t>es</w:t>
            </w:r>
            <w:r w:rsidRPr="00845B5D">
              <w:rPr>
                <w:rFonts w:ascii="Times New Roman" w:eastAsia="Calibri" w:hAnsi="Times New Roman" w:cs="Times New Roman"/>
                <w:color w:val="000000"/>
                <w:kern w:val="24"/>
                <w:sz w:val="24"/>
                <w:szCs w:val="24"/>
                <w:lang w:eastAsia="lv-LV"/>
              </w:rPr>
              <w:t xml:space="preserve"> uz </w:t>
            </w:r>
            <w:r w:rsidR="00235F7A">
              <w:rPr>
                <w:rFonts w:ascii="Times New Roman" w:eastAsia="Calibri" w:hAnsi="Times New Roman" w:cs="Times New Roman"/>
                <w:color w:val="000000"/>
                <w:kern w:val="24"/>
                <w:sz w:val="24"/>
                <w:szCs w:val="24"/>
                <w:lang w:eastAsia="lv-LV"/>
              </w:rPr>
              <w:t xml:space="preserve">tirgus izpētes veicēja un </w:t>
            </w:r>
            <w:r w:rsidRPr="00845B5D">
              <w:rPr>
                <w:rFonts w:ascii="Times New Roman" w:eastAsia="Calibri" w:hAnsi="Times New Roman" w:cs="Times New Roman"/>
                <w:color w:val="000000"/>
                <w:kern w:val="24"/>
                <w:sz w:val="24"/>
                <w:szCs w:val="24"/>
                <w:lang w:eastAsia="lv-LV"/>
              </w:rPr>
              <w:t xml:space="preserve">pasūtītāju pārstāvju uzdotajiem jautājumiem, </w:t>
            </w:r>
            <w:r>
              <w:rPr>
                <w:rFonts w:ascii="Times New Roman" w:eastAsia="Calibri" w:hAnsi="Times New Roman" w:cs="Times New Roman"/>
                <w:color w:val="000000"/>
                <w:kern w:val="24"/>
                <w:sz w:val="24"/>
                <w:szCs w:val="24"/>
                <w:lang w:eastAsia="lv-LV"/>
              </w:rPr>
              <w:t xml:space="preserve">demonstrē </w:t>
            </w:r>
            <w:r w:rsidR="00AA05C3">
              <w:rPr>
                <w:rFonts w:ascii="Times New Roman" w:eastAsia="Calibri" w:hAnsi="Times New Roman" w:cs="Times New Roman"/>
                <w:color w:val="000000"/>
                <w:kern w:val="24"/>
                <w:sz w:val="24"/>
                <w:szCs w:val="24"/>
                <w:lang w:eastAsia="lv-LV"/>
              </w:rPr>
              <w:t xml:space="preserve">zināšanu trūkumu par tēmu. </w:t>
            </w:r>
          </w:p>
        </w:tc>
      </w:tr>
      <w:tr w:rsidR="00922099" w:rsidRPr="00845B5D" w14:paraId="28C7D309" w14:textId="77777777" w:rsidTr="00E73929">
        <w:tc>
          <w:tcPr>
            <w:tcW w:w="1456" w:type="dxa"/>
            <w:shd w:val="clear" w:color="auto" w:fill="auto"/>
          </w:tcPr>
          <w:p w14:paraId="155DC598" w14:textId="77777777" w:rsidR="00922099" w:rsidRPr="00845B5D" w:rsidRDefault="00922099" w:rsidP="001A78B6">
            <w:pPr>
              <w:spacing w:after="120" w:line="240" w:lineRule="auto"/>
              <w:jc w:val="center"/>
              <w:rPr>
                <w:rFonts w:ascii="Times New Roman" w:hAnsi="Times New Roman" w:cs="Times New Roman"/>
                <w:b/>
                <w:bCs/>
                <w:sz w:val="24"/>
                <w:szCs w:val="24"/>
              </w:rPr>
            </w:pPr>
          </w:p>
        </w:tc>
        <w:tc>
          <w:tcPr>
            <w:tcW w:w="3251" w:type="dxa"/>
            <w:shd w:val="clear" w:color="auto" w:fill="auto"/>
          </w:tcPr>
          <w:p w14:paraId="49720A92" w14:textId="77777777" w:rsidR="00922099" w:rsidRPr="00845B5D" w:rsidRDefault="00922099" w:rsidP="001A78B6">
            <w:pPr>
              <w:spacing w:after="120" w:line="240" w:lineRule="auto"/>
              <w:jc w:val="both"/>
              <w:rPr>
                <w:rFonts w:ascii="Times New Roman" w:eastAsia="Calibri" w:hAnsi="Times New Roman" w:cs="Times New Roman"/>
                <w:color w:val="000000"/>
                <w:kern w:val="24"/>
                <w:sz w:val="24"/>
                <w:szCs w:val="24"/>
                <w:lang w:eastAsia="lv-LV"/>
              </w:rPr>
            </w:pPr>
          </w:p>
        </w:tc>
        <w:tc>
          <w:tcPr>
            <w:tcW w:w="1523" w:type="dxa"/>
            <w:shd w:val="clear" w:color="auto" w:fill="auto"/>
          </w:tcPr>
          <w:p w14:paraId="370C5F47" w14:textId="14F7DA90" w:rsidR="00922099" w:rsidRDefault="00922099" w:rsidP="001A78B6">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3104" w:type="dxa"/>
          </w:tcPr>
          <w:p w14:paraId="70AFF145" w14:textId="414AEB9D" w:rsidR="00922099" w:rsidRPr="00845B5D" w:rsidRDefault="00922099" w:rsidP="001A78B6">
            <w:pPr>
              <w:spacing w:after="120" w:line="240" w:lineRule="auto"/>
              <w:jc w:val="both"/>
              <w:rPr>
                <w:rFonts w:ascii="Times New Roman" w:eastAsia="Calibri" w:hAnsi="Times New Roman" w:cs="Times New Roman"/>
                <w:color w:val="000000"/>
                <w:kern w:val="24"/>
                <w:sz w:val="24"/>
                <w:szCs w:val="24"/>
                <w:lang w:eastAsia="lv-LV"/>
              </w:rPr>
            </w:pPr>
            <w:r>
              <w:rPr>
                <w:rFonts w:ascii="Times New Roman" w:eastAsia="Calibri" w:hAnsi="Times New Roman" w:cs="Times New Roman"/>
                <w:color w:val="000000"/>
                <w:kern w:val="24"/>
                <w:sz w:val="24"/>
                <w:szCs w:val="24"/>
                <w:lang w:eastAsia="lv-LV"/>
              </w:rPr>
              <w:t xml:space="preserve">Pretendenta piedāvājumam un prezentācijai, kas neatbilst nevienam no augstāk minētajiem aprakstiem, tiek piešķirti 0 punkti. </w:t>
            </w:r>
          </w:p>
        </w:tc>
      </w:tr>
    </w:tbl>
    <w:p w14:paraId="42F9F1B6" w14:textId="77777777" w:rsidR="008C46C9" w:rsidRPr="00430B9A" w:rsidRDefault="008C46C9" w:rsidP="008C46C9">
      <w:pPr>
        <w:spacing w:after="120" w:line="240" w:lineRule="auto"/>
        <w:jc w:val="both"/>
        <w:rPr>
          <w:rFonts w:ascii="Times New Roman" w:hAnsi="Times New Roman"/>
          <w:bCs/>
          <w:sz w:val="24"/>
          <w:szCs w:val="24"/>
        </w:rPr>
      </w:pPr>
    </w:p>
    <w:p w14:paraId="09BAB7AD" w14:textId="334342F7" w:rsidR="008C46C9" w:rsidRPr="00861C01" w:rsidRDefault="008C46C9" w:rsidP="00861C01">
      <w:pPr>
        <w:pStyle w:val="Sarakstarindkopa"/>
        <w:numPr>
          <w:ilvl w:val="1"/>
          <w:numId w:val="2"/>
        </w:numPr>
        <w:spacing w:after="120" w:line="240" w:lineRule="auto"/>
        <w:ind w:left="567" w:hanging="567"/>
        <w:jc w:val="both"/>
        <w:rPr>
          <w:rFonts w:ascii="Times New Roman" w:hAnsi="Times New Roman"/>
          <w:b/>
          <w:sz w:val="24"/>
          <w:szCs w:val="24"/>
        </w:rPr>
      </w:pPr>
      <w:r w:rsidRPr="00861C01">
        <w:rPr>
          <w:rFonts w:ascii="Times New Roman" w:hAnsi="Times New Roman"/>
          <w:b/>
          <w:sz w:val="24"/>
          <w:szCs w:val="24"/>
        </w:rPr>
        <w:t xml:space="preserve">Par saimnieciski visizdevīgāko piedāvājumu </w:t>
      </w:r>
      <w:r w:rsidR="0050420A">
        <w:rPr>
          <w:rFonts w:ascii="Times New Roman" w:hAnsi="Times New Roman"/>
          <w:b/>
          <w:sz w:val="24"/>
          <w:szCs w:val="24"/>
        </w:rPr>
        <w:t>Tirgus izpētes veicējs</w:t>
      </w:r>
      <w:r w:rsidRPr="00861C01">
        <w:rPr>
          <w:rFonts w:ascii="Times New Roman" w:hAnsi="Times New Roman"/>
          <w:b/>
          <w:sz w:val="24"/>
          <w:szCs w:val="24"/>
        </w:rPr>
        <w:t xml:space="preserve"> atzīs piedāvājumu, kurš, apkopojot piedāvājumu vērtējumus visos kritērijos, iegūs visaugstāko vērtējumu (punktu skaitu). Katra piedāvājuma iegūto punktu skaitu aprēķina pēc formulas: </w:t>
      </w:r>
    </w:p>
    <w:p w14:paraId="5B25122E" w14:textId="2D624BD6" w:rsidR="008C46C9" w:rsidRPr="00430B9A" w:rsidRDefault="008C46C9" w:rsidP="008C46C9">
      <w:pPr>
        <w:spacing w:after="120" w:line="240" w:lineRule="auto"/>
        <w:jc w:val="both"/>
        <w:rPr>
          <w:rFonts w:ascii="Times New Roman" w:hAnsi="Times New Roman"/>
          <w:i/>
          <w:sz w:val="24"/>
          <w:szCs w:val="24"/>
        </w:rPr>
      </w:pPr>
      <w:r w:rsidRPr="00430B9A">
        <w:rPr>
          <w:rFonts w:ascii="Times New Roman" w:hAnsi="Times New Roman"/>
          <w:i/>
          <w:sz w:val="24"/>
          <w:szCs w:val="24"/>
        </w:rPr>
        <w:t>Piedāvājuma punkti = K 1 kritērijā iegūtie punkti + K 2 kritērijā iegūtie punkti + K 3 kritērijā iegūtie punkti</w:t>
      </w:r>
      <w:r w:rsidR="00861C01">
        <w:rPr>
          <w:rFonts w:ascii="Times New Roman" w:hAnsi="Times New Roman"/>
          <w:i/>
          <w:sz w:val="24"/>
          <w:szCs w:val="24"/>
        </w:rPr>
        <w:t xml:space="preserve"> (sastāv no K 3.1. un K 3.2. apakškritēriju punktu summas)</w:t>
      </w:r>
      <w:r w:rsidRPr="00430B9A">
        <w:rPr>
          <w:rFonts w:ascii="Times New Roman" w:hAnsi="Times New Roman"/>
          <w:i/>
          <w:sz w:val="24"/>
          <w:szCs w:val="24"/>
        </w:rPr>
        <w:t xml:space="preserve"> + K4 kritērijā iegūtie punkti.</w:t>
      </w:r>
    </w:p>
    <w:p w14:paraId="3837609A" w14:textId="375ED42B" w:rsidR="008C46C9" w:rsidRPr="00861C01" w:rsidRDefault="008C46C9" w:rsidP="00710C37">
      <w:pPr>
        <w:pStyle w:val="Sarakstarindkopa"/>
        <w:numPr>
          <w:ilvl w:val="1"/>
          <w:numId w:val="2"/>
        </w:numPr>
        <w:spacing w:after="120" w:line="240" w:lineRule="auto"/>
        <w:ind w:left="567" w:hanging="567"/>
        <w:contextualSpacing w:val="0"/>
        <w:jc w:val="both"/>
        <w:rPr>
          <w:rFonts w:ascii="Times New Roman" w:hAnsi="Times New Roman"/>
          <w:sz w:val="24"/>
          <w:szCs w:val="24"/>
        </w:rPr>
      </w:pPr>
      <w:r w:rsidRPr="00861C01">
        <w:rPr>
          <w:rFonts w:ascii="Times New Roman" w:hAnsi="Times New Roman"/>
          <w:sz w:val="24"/>
          <w:szCs w:val="24"/>
        </w:rPr>
        <w:lastRenderedPageBreak/>
        <w:t>Ja Pasūtītājs konstatēs, ka uz visizdevīgāko piedāvājumu pretendē vismaz divi piedāvājumi, kuri ir ar vienādu vērtējumu, tas dos priekšroku tam saimnieciski visizdevīgākajam piedāvājumam, kurš būs</w:t>
      </w:r>
      <w:r w:rsidR="00EA062F">
        <w:rPr>
          <w:rFonts w:ascii="Times New Roman" w:hAnsi="Times New Roman"/>
          <w:sz w:val="24"/>
          <w:szCs w:val="24"/>
        </w:rPr>
        <w:t xml:space="preserve"> ieguvis augstāko novērtējumu kritērijā K 4. </w:t>
      </w:r>
    </w:p>
    <w:p w14:paraId="0CE07DF4" w14:textId="5DABBF0A" w:rsidR="00B650D9" w:rsidRPr="00161731" w:rsidRDefault="00161731"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68EC21E7" w14:textId="15726100" w:rsidR="00EA062F" w:rsidRDefault="0050420A" w:rsidP="000C005D">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Tirgus izpētes veicējs</w:t>
      </w:r>
      <w:r w:rsidR="00524306">
        <w:rPr>
          <w:rFonts w:ascii="Times New Roman" w:hAnsi="Times New Roman" w:cs="Times New Roman"/>
          <w:color w:val="000000" w:themeColor="text1"/>
          <w:sz w:val="24"/>
          <w:szCs w:val="24"/>
        </w:rPr>
        <w:t xml:space="preserve"> rīko ieinteresēto piegādātāju sanāksmi</w:t>
      </w:r>
      <w:r w:rsidR="004D3E58">
        <w:rPr>
          <w:rFonts w:ascii="Times New Roman" w:hAnsi="Times New Roman" w:cs="Times New Roman"/>
          <w:color w:val="000000" w:themeColor="text1"/>
          <w:sz w:val="24"/>
          <w:szCs w:val="24"/>
        </w:rPr>
        <w:t>.</w:t>
      </w:r>
    </w:p>
    <w:p w14:paraId="4A618BE6" w14:textId="0326C796" w:rsidR="00710C37" w:rsidRDefault="00710C37" w:rsidP="00710C37">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sidRPr="00EA062F">
        <w:rPr>
          <w:rFonts w:ascii="Times New Roman" w:hAnsi="Times New Roman" w:cs="Times New Roman"/>
          <w:color w:val="000000" w:themeColor="text1"/>
          <w:sz w:val="24"/>
          <w:szCs w:val="24"/>
        </w:rPr>
        <w:t xml:space="preserve">Piedāvājums iesniedzams līdz </w:t>
      </w:r>
      <w:r w:rsidR="004D3E58">
        <w:rPr>
          <w:rFonts w:ascii="Times New Roman" w:hAnsi="Times New Roman" w:cs="Times New Roman"/>
          <w:b/>
          <w:color w:val="000000" w:themeColor="text1"/>
          <w:sz w:val="24"/>
          <w:szCs w:val="24"/>
        </w:rPr>
        <w:t>__________________</w:t>
      </w:r>
      <w:r w:rsidRPr="00EA062F">
        <w:rPr>
          <w:rFonts w:ascii="Times New Roman" w:hAnsi="Times New Roman" w:cs="Times New Roman"/>
          <w:b/>
          <w:color w:val="000000" w:themeColor="text1"/>
          <w:sz w:val="24"/>
          <w:szCs w:val="24"/>
        </w:rPr>
        <w:t xml:space="preserve">, </w:t>
      </w:r>
      <w:r w:rsidRPr="00EA062F">
        <w:rPr>
          <w:rFonts w:ascii="Times New Roman" w:hAnsi="Times New Roman" w:cs="Times New Roman"/>
          <w:color w:val="000000" w:themeColor="text1"/>
          <w:sz w:val="24"/>
          <w:szCs w:val="24"/>
        </w:rPr>
        <w:t>nosūtot aizpildītu piedāvājuma formu (</w:t>
      </w:r>
      <w:r w:rsidR="00454C6B">
        <w:rPr>
          <w:rFonts w:ascii="Times New Roman" w:hAnsi="Times New Roman" w:cs="Times New Roman"/>
          <w:color w:val="000000" w:themeColor="text1"/>
          <w:sz w:val="24"/>
          <w:szCs w:val="24"/>
        </w:rPr>
        <w:t>__</w:t>
      </w:r>
      <w:bookmarkStart w:id="1" w:name="_GoBack"/>
      <w:bookmarkEnd w:id="1"/>
      <w:r w:rsidRPr="00EA062F">
        <w:rPr>
          <w:rFonts w:ascii="Times New Roman" w:hAnsi="Times New Roman" w:cs="Times New Roman"/>
          <w:color w:val="000000" w:themeColor="text1"/>
          <w:sz w:val="24"/>
          <w:szCs w:val="24"/>
        </w:rPr>
        <w:t>. pielikums) un piedāvājumu uz e-pastu:</w:t>
      </w:r>
      <w:r w:rsidR="004D3E58">
        <w:rPr>
          <w:rStyle w:val="Hipersaite"/>
          <w:rFonts w:ascii="Times New Roman" w:hAnsi="Times New Roman" w:cs="Times New Roman"/>
          <w:sz w:val="24"/>
          <w:szCs w:val="24"/>
        </w:rPr>
        <w:t xml:space="preserve"> ________________</w:t>
      </w:r>
      <w:r w:rsidRPr="00EA062F">
        <w:rPr>
          <w:rFonts w:ascii="Times New Roman" w:hAnsi="Times New Roman" w:cs="Times New Roman"/>
          <w:color w:val="000000" w:themeColor="text1"/>
          <w:sz w:val="24"/>
          <w:szCs w:val="24"/>
        </w:rPr>
        <w:t>.</w:t>
      </w:r>
    </w:p>
    <w:p w14:paraId="5B042DE5" w14:textId="0107F945" w:rsidR="00710C37" w:rsidRDefault="00032470" w:rsidP="000C005D">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Pretendents piedāvājumā iekļauj:</w:t>
      </w:r>
    </w:p>
    <w:p w14:paraId="29F28324" w14:textId="45CFDD61" w:rsidR="00032470" w:rsidRPr="00B3544B" w:rsidRDefault="00032470" w:rsidP="00032470">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Piedāvāto speciālistu kvalifikācija</w:t>
      </w:r>
      <w:r w:rsidR="00A5426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un pieredzes aprakstu</w:t>
      </w:r>
      <w:r w:rsidR="008E2DFC">
        <w:rPr>
          <w:rFonts w:ascii="Times New Roman" w:hAnsi="Times New Roman" w:cs="Times New Roman"/>
          <w:color w:val="000000" w:themeColor="text1"/>
          <w:sz w:val="24"/>
          <w:szCs w:val="24"/>
        </w:rPr>
        <w:t>, kvalifikāciju apliecinošu dokumentu kopijas</w:t>
      </w:r>
      <w:r w:rsidR="00430DDD">
        <w:rPr>
          <w:rFonts w:ascii="Times New Roman" w:hAnsi="Times New Roman" w:cs="Times New Roman"/>
          <w:color w:val="000000" w:themeColor="text1"/>
          <w:sz w:val="24"/>
          <w:szCs w:val="24"/>
        </w:rPr>
        <w:t xml:space="preserve"> (skenēt</w:t>
      </w:r>
      <w:r w:rsidR="004E1A54">
        <w:rPr>
          <w:rFonts w:ascii="Times New Roman" w:hAnsi="Times New Roman" w:cs="Times New Roman"/>
          <w:color w:val="000000" w:themeColor="text1"/>
          <w:sz w:val="24"/>
          <w:szCs w:val="24"/>
        </w:rPr>
        <w:t>i dokumentu oriģināli)</w:t>
      </w:r>
      <w:r w:rsidR="008E2DFC">
        <w:rPr>
          <w:rFonts w:ascii="Times New Roman" w:hAnsi="Times New Roman" w:cs="Times New Roman"/>
          <w:color w:val="000000" w:themeColor="text1"/>
          <w:sz w:val="24"/>
          <w:szCs w:val="24"/>
        </w:rPr>
        <w:t xml:space="preserve"> un pieredzi apliecinošu (piemēram, darba devēja atsauksme, pasūtītāja atsauksme vai cits dokuments) dokumentu kopijas</w:t>
      </w:r>
      <w:r w:rsidR="004E1A54">
        <w:rPr>
          <w:rFonts w:ascii="Times New Roman" w:hAnsi="Times New Roman" w:cs="Times New Roman"/>
          <w:color w:val="000000" w:themeColor="text1"/>
          <w:sz w:val="24"/>
          <w:szCs w:val="24"/>
        </w:rPr>
        <w:t xml:space="preserve"> (skenēti dokumentu oriģināli)</w:t>
      </w:r>
      <w:r>
        <w:rPr>
          <w:rFonts w:ascii="Times New Roman" w:hAnsi="Times New Roman" w:cs="Times New Roman"/>
          <w:color w:val="000000" w:themeColor="text1"/>
          <w:sz w:val="24"/>
          <w:szCs w:val="24"/>
        </w:rPr>
        <w:t xml:space="preserve">, kā arī </w:t>
      </w:r>
      <w:r w:rsidR="00A54260">
        <w:rPr>
          <w:rFonts w:ascii="Times New Roman" w:hAnsi="Times New Roman" w:cs="Times New Roman"/>
          <w:color w:val="000000" w:themeColor="text1"/>
          <w:sz w:val="24"/>
          <w:szCs w:val="24"/>
        </w:rPr>
        <w:t xml:space="preserve">speciālistu piekrišanu piedalīties iepirkuma līguma izpildē, </w:t>
      </w:r>
      <w:r w:rsidR="00B3544B" w:rsidRPr="00B3544B">
        <w:rPr>
          <w:rFonts w:ascii="Times New Roman" w:hAnsi="Times New Roman" w:cs="Times New Roman"/>
          <w:color w:val="000000" w:themeColor="text1"/>
          <w:sz w:val="24"/>
          <w:szCs w:val="24"/>
        </w:rPr>
        <w:t>ja ar pretendentu</w:t>
      </w:r>
      <w:r w:rsidR="00A54260" w:rsidRPr="00B3544B">
        <w:rPr>
          <w:rFonts w:ascii="Times New Roman" w:hAnsi="Times New Roman" w:cs="Times New Roman"/>
          <w:color w:val="000000" w:themeColor="text1"/>
          <w:sz w:val="24"/>
          <w:szCs w:val="24"/>
        </w:rPr>
        <w:t xml:space="preserve"> šāds līgums tiks </w:t>
      </w:r>
      <w:r w:rsidR="00B3544B" w:rsidRPr="00B3544B">
        <w:rPr>
          <w:rFonts w:ascii="Times New Roman" w:hAnsi="Times New Roman" w:cs="Times New Roman"/>
          <w:color w:val="000000" w:themeColor="text1"/>
          <w:sz w:val="24"/>
          <w:szCs w:val="24"/>
        </w:rPr>
        <w:t>noslēg</w:t>
      </w:r>
      <w:r w:rsidR="00A54260" w:rsidRPr="00B3544B">
        <w:rPr>
          <w:rFonts w:ascii="Times New Roman" w:hAnsi="Times New Roman" w:cs="Times New Roman"/>
          <w:color w:val="000000" w:themeColor="text1"/>
          <w:sz w:val="24"/>
          <w:szCs w:val="24"/>
        </w:rPr>
        <w:t>ts;</w:t>
      </w:r>
    </w:p>
    <w:p w14:paraId="2CD57628" w14:textId="2D2F2B1A" w:rsidR="00A54260" w:rsidRDefault="00A54260" w:rsidP="00032470">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Apmācību programmas un mācību materiālu izstrādes piedāvājumu, kurā aprakstīts kā pretendents plāno izpildīt Tehniskajā specifikācijā noteiktos uzdevumus un aprakstīts:</w:t>
      </w:r>
    </w:p>
    <w:p w14:paraId="05954603" w14:textId="6DD8C056" w:rsidR="00A54260" w:rsidRDefault="00A54260" w:rsidP="00124135">
      <w:pPr>
        <w:pStyle w:val="Sarakstarindkopa"/>
        <w:numPr>
          <w:ilvl w:val="3"/>
          <w:numId w:val="2"/>
        </w:numPr>
        <w:spacing w:after="120" w:line="240" w:lineRule="auto"/>
        <w:ind w:left="1701" w:hanging="91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Apmācību programmas un mācību materiālu izstrādes process;</w:t>
      </w:r>
    </w:p>
    <w:p w14:paraId="2F578866" w14:textId="73EFBC1E" w:rsidR="00673C56" w:rsidRDefault="00673C56" w:rsidP="00124135">
      <w:pPr>
        <w:pStyle w:val="Sarakstarindkopa"/>
        <w:numPr>
          <w:ilvl w:val="3"/>
          <w:numId w:val="2"/>
        </w:numPr>
        <w:spacing w:after="120" w:line="240" w:lineRule="auto"/>
        <w:ind w:left="1701" w:hanging="916"/>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Apmācību programmas</w:t>
      </w:r>
      <w:r w:rsidR="00FB6D3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mācību materiālu izstrādes metodes</w:t>
      </w:r>
      <w:r w:rsidR="00FB6D32">
        <w:rPr>
          <w:rFonts w:ascii="Times New Roman" w:hAnsi="Times New Roman" w:cs="Times New Roman"/>
          <w:color w:val="000000" w:themeColor="text1"/>
          <w:sz w:val="24"/>
          <w:szCs w:val="24"/>
        </w:rPr>
        <w:t xml:space="preserve"> un apmācību norises vīzija</w:t>
      </w:r>
      <w:r>
        <w:rPr>
          <w:rFonts w:ascii="Times New Roman" w:hAnsi="Times New Roman" w:cs="Times New Roman"/>
          <w:color w:val="000000" w:themeColor="text1"/>
          <w:sz w:val="24"/>
          <w:szCs w:val="24"/>
        </w:rPr>
        <w:t>.</w:t>
      </w:r>
    </w:p>
    <w:p w14:paraId="091E9089" w14:textId="2B597C0E" w:rsidR="00940AEE" w:rsidRPr="00940AEE" w:rsidRDefault="00940AEE"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Pr="00940AEE">
        <w:rPr>
          <w:rStyle w:val="Izteiksmgs"/>
          <w:rFonts w:ascii="Times New Roman" w:hAnsi="Times New Roman" w:cs="Times New Roman"/>
          <w:sz w:val="24"/>
          <w:szCs w:val="24"/>
        </w:rPr>
        <w:t xml:space="preserve">. </w:t>
      </w:r>
      <w:r>
        <w:rPr>
          <w:rStyle w:val="Izteiksmgs"/>
          <w:rFonts w:ascii="Times New Roman" w:hAnsi="Times New Roman" w:cs="Times New Roman"/>
          <w:sz w:val="24"/>
          <w:szCs w:val="24"/>
        </w:rPr>
        <w:t xml:space="preserve">PIEDĀVĀJUMA </w:t>
      </w:r>
      <w:r w:rsidRPr="00940AEE">
        <w:rPr>
          <w:rStyle w:val="Izteiksmgs"/>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556CD73D" w:rsidR="00940AEE" w:rsidRPr="00F73875" w:rsidRDefault="00940AEE" w:rsidP="00F73875">
      <w:pPr>
        <w:pStyle w:val="Sarakstarindkopa"/>
        <w:numPr>
          <w:ilvl w:val="2"/>
          <w:numId w:val="42"/>
        </w:numPr>
        <w:tabs>
          <w:tab w:val="left" w:pos="709"/>
          <w:tab w:val="left" w:pos="1276"/>
        </w:tabs>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1CDED807" w14:textId="267E22DB" w:rsidR="00FB6D32" w:rsidRPr="00F73875" w:rsidRDefault="00FB6D32" w:rsidP="00F73875">
      <w:pPr>
        <w:pStyle w:val="Sarakstarindkopa"/>
        <w:numPr>
          <w:ilvl w:val="2"/>
          <w:numId w:val="42"/>
        </w:numPr>
        <w:spacing w:after="120" w:line="240" w:lineRule="auto"/>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lang w:eastAsia="lv-LV"/>
        </w:rPr>
        <w:t>Kritērija</w:t>
      </w:r>
      <w:r w:rsidR="00124135" w:rsidRPr="00F73875">
        <w:rPr>
          <w:rFonts w:ascii="Times New Roman" w:hAnsi="Times New Roman" w:cs="Times New Roman"/>
          <w:color w:val="000000"/>
          <w:sz w:val="24"/>
          <w:szCs w:val="24"/>
          <w:lang w:eastAsia="lv-LV"/>
        </w:rPr>
        <w:t xml:space="preserve"> K 4</w:t>
      </w:r>
      <w:r w:rsidRPr="00F73875">
        <w:rPr>
          <w:rFonts w:ascii="Times New Roman" w:hAnsi="Times New Roman" w:cs="Times New Roman"/>
          <w:color w:val="000000"/>
          <w:sz w:val="24"/>
          <w:szCs w:val="24"/>
          <w:lang w:eastAsia="lv-LV"/>
        </w:rPr>
        <w:t xml:space="preserve"> izvērtēšanai ir paredzēta pretendenta klātienes prezentācija, kurā pretendents un tā piesaistītie speciālisti </w:t>
      </w:r>
      <w:r w:rsidR="0050420A" w:rsidRPr="00F73875">
        <w:rPr>
          <w:rFonts w:ascii="Times New Roman" w:hAnsi="Times New Roman" w:cs="Times New Roman"/>
          <w:color w:val="000000"/>
          <w:sz w:val="24"/>
          <w:szCs w:val="24"/>
          <w:lang w:eastAsia="lv-LV"/>
        </w:rPr>
        <w:t>Tirgus izpētes veicēja un p</w:t>
      </w:r>
      <w:r w:rsidRPr="00F73875">
        <w:rPr>
          <w:rFonts w:ascii="Times New Roman" w:hAnsi="Times New Roman" w:cs="Times New Roman"/>
          <w:color w:val="000000"/>
          <w:sz w:val="24"/>
          <w:szCs w:val="24"/>
          <w:lang w:eastAsia="lv-LV"/>
        </w:rPr>
        <w:t xml:space="preserve">asūtītāju pārstāvjiem un piesaistītajiem ekspertiem prezentēs apmācību programmas, mācību materiālu izstrādes procesu un izstrādes metodes, kā arī apmācību norises vīziju. Prezentācija jāsniedz latviešu valodā vai, ja </w:t>
      </w:r>
      <w:r w:rsidR="0093380F" w:rsidRPr="00F73875">
        <w:rPr>
          <w:rFonts w:ascii="Times New Roman" w:hAnsi="Times New Roman" w:cs="Times New Roman"/>
          <w:color w:val="000000"/>
          <w:sz w:val="24"/>
          <w:szCs w:val="24"/>
          <w:lang w:eastAsia="lv-LV"/>
        </w:rPr>
        <w:t>p</w:t>
      </w:r>
      <w:r w:rsidRPr="00F73875">
        <w:rPr>
          <w:rFonts w:ascii="Times New Roman" w:hAnsi="Times New Roman" w:cs="Times New Roman"/>
          <w:color w:val="000000"/>
          <w:sz w:val="24"/>
          <w:szCs w:val="24"/>
          <w:lang w:eastAsia="lv-LV"/>
        </w:rPr>
        <w:t xml:space="preserve">retendents sniedz prezentāciju svešvalodā, jānodrošina tulkojums uz latviešu valodu. Prezentācijas laikā </w:t>
      </w:r>
      <w:r w:rsidR="0050420A" w:rsidRPr="00F73875">
        <w:rPr>
          <w:rFonts w:ascii="Times New Roman" w:hAnsi="Times New Roman" w:cs="Times New Roman"/>
          <w:color w:val="000000"/>
          <w:sz w:val="24"/>
          <w:szCs w:val="24"/>
          <w:lang w:eastAsia="lv-LV"/>
        </w:rPr>
        <w:t>Tirgus izpētes veicēja un p</w:t>
      </w:r>
      <w:r w:rsidRPr="00F73875">
        <w:rPr>
          <w:rFonts w:ascii="Times New Roman" w:hAnsi="Times New Roman" w:cs="Times New Roman"/>
          <w:color w:val="000000"/>
          <w:sz w:val="24"/>
          <w:szCs w:val="24"/>
          <w:lang w:eastAsia="lv-LV"/>
        </w:rPr>
        <w:t>asūtītāju pārstāvji un piesaistītie eksperti nepieciešamības gadījumā uzdos pretendentam jautājumus par tā piedāvājumu</w:t>
      </w:r>
      <w:r w:rsidR="00F41508" w:rsidRPr="00F73875">
        <w:rPr>
          <w:rFonts w:ascii="Times New Roman" w:hAnsi="Times New Roman" w:cs="Times New Roman"/>
          <w:color w:val="000000"/>
          <w:sz w:val="24"/>
          <w:szCs w:val="24"/>
          <w:lang w:eastAsia="lv-LV"/>
        </w:rPr>
        <w:t xml:space="preserve"> un prezentāciju</w:t>
      </w:r>
      <w:r w:rsidRPr="00F73875">
        <w:rPr>
          <w:rFonts w:ascii="Times New Roman" w:hAnsi="Times New Roman" w:cs="Times New Roman"/>
          <w:color w:val="000000"/>
          <w:sz w:val="24"/>
          <w:szCs w:val="24"/>
          <w:lang w:eastAsia="lv-LV"/>
        </w:rPr>
        <w:t xml:space="preserve">. </w:t>
      </w:r>
      <w:r w:rsidR="0050420A" w:rsidRPr="00F73875">
        <w:rPr>
          <w:rFonts w:ascii="Times New Roman" w:hAnsi="Times New Roman" w:cs="Times New Roman"/>
          <w:color w:val="000000"/>
          <w:sz w:val="24"/>
          <w:szCs w:val="24"/>
          <w:lang w:eastAsia="lv-LV"/>
        </w:rPr>
        <w:t>Tirgus izpētes veicējs</w:t>
      </w:r>
      <w:r w:rsidRPr="00F73875">
        <w:rPr>
          <w:rFonts w:ascii="Times New Roman" w:hAnsi="Times New Roman" w:cs="Times New Roman"/>
          <w:color w:val="000000"/>
          <w:sz w:val="24"/>
          <w:szCs w:val="24"/>
          <w:lang w:eastAsia="lv-LV"/>
        </w:rPr>
        <w:t xml:space="preserve"> par prezentācijas laiku un vietu paziņos pretendentam vismaz 5 dienas iepriekš. Pretendentam prezentācija latviešu valodā elektroniskā veidā jāiesniedz </w:t>
      </w:r>
      <w:r w:rsidR="0050420A" w:rsidRPr="00F73875">
        <w:rPr>
          <w:rFonts w:ascii="Times New Roman" w:hAnsi="Times New Roman" w:cs="Times New Roman"/>
          <w:color w:val="000000"/>
          <w:sz w:val="24"/>
          <w:szCs w:val="24"/>
          <w:lang w:eastAsia="lv-LV"/>
        </w:rPr>
        <w:t>Tirgus izpētes veicējam</w:t>
      </w:r>
      <w:r w:rsidRPr="00F73875">
        <w:rPr>
          <w:rFonts w:ascii="Times New Roman" w:hAnsi="Times New Roman" w:cs="Times New Roman"/>
          <w:color w:val="000000"/>
          <w:sz w:val="24"/>
          <w:szCs w:val="24"/>
          <w:lang w:eastAsia="lv-LV"/>
        </w:rPr>
        <w:t xml:space="preserve"> prezentācijas dienā. </w:t>
      </w:r>
    </w:p>
    <w:p w14:paraId="23B5BF1F" w14:textId="23B1FA46" w:rsidR="00940AEE" w:rsidRPr="00FB6D32" w:rsidRDefault="0050420A"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7533D272" w:rsidR="00940AEE" w:rsidRPr="00FB6D32" w:rsidRDefault="0050420A"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piegādātājus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5DE1093" w:rsidR="00940AEE" w:rsidRPr="00940AEE" w:rsidRDefault="0050420A"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tehniski vai finansiāli 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160EC9FA" w:rsidR="00940AEE" w:rsidRPr="00940AEE" w:rsidRDefault="0050420A"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C1836D"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93380F">
        <w:rPr>
          <w:rFonts w:ascii="Times New Roman" w:hAnsi="Times New Roman" w:cs="Times New Roman"/>
          <w:color w:val="000000"/>
          <w:sz w:val="24"/>
          <w:szCs w:val="24"/>
        </w:rPr>
        <w:t xml:space="preserve">saimnieciski </w:t>
      </w:r>
      <w:r w:rsidRPr="00940AEE">
        <w:rPr>
          <w:rFonts w:ascii="Times New Roman" w:hAnsi="Times New Roman" w:cs="Times New Roman"/>
          <w:color w:val="000000"/>
          <w:sz w:val="24"/>
          <w:szCs w:val="24"/>
        </w:rPr>
        <w:t>visizdevīgākais piedāvājums</w:t>
      </w:r>
      <w:r w:rsidR="0050420A">
        <w:rPr>
          <w:rFonts w:ascii="Times New Roman" w:hAnsi="Times New Roman" w:cs="Times New Roman"/>
          <w:color w:val="000000"/>
          <w:sz w:val="24"/>
          <w:szCs w:val="24"/>
        </w:rPr>
        <w:t>.</w:t>
      </w:r>
    </w:p>
    <w:p w14:paraId="3B78350A" w14:textId="526614EB" w:rsidR="00940AEE" w:rsidRPr="00940AEE" w:rsidRDefault="00940AEE" w:rsidP="00F73875">
      <w:pPr>
        <w:pStyle w:val="Sarakstarindkopa"/>
        <w:numPr>
          <w:ilvl w:val="2"/>
          <w:numId w:val="42"/>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lastRenderedPageBreak/>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saimnieciski visizdevīgāko piedāvājumu.</w:t>
      </w:r>
    </w:p>
    <w:p w14:paraId="0D97862B" w14:textId="6ECA0242"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.2. Lēmuma pieņemšana un paziņošana</w:t>
      </w:r>
    </w:p>
    <w:p w14:paraId="0902E8AE" w14:textId="4B99DA21"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lēmuma pieņemšanas </w:t>
      </w:r>
      <w:r w:rsidR="0050420A">
        <w:rPr>
          <w:rFonts w:ascii="Times New Roman" w:hAnsi="Times New Roman" w:cs="Times New Roman"/>
          <w:sz w:val="24"/>
          <w:szCs w:val="24"/>
        </w:rPr>
        <w:t>Tirgus izpētes veicējs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Izteiksmgs"/>
          <w:rFonts w:ascii="Times New Roman" w:hAnsi="Times New Roman" w:cs="Times New Roman"/>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.3. Iepirkuma līguma slēgšana</w:t>
      </w:r>
    </w:p>
    <w:p w14:paraId="71387248" w14:textId="2CE254FB" w:rsidR="00415852" w:rsidRPr="00F73875" w:rsidRDefault="00940AEE" w:rsidP="00F73875">
      <w:pPr>
        <w:pStyle w:val="Sarakstarindkopa"/>
        <w:numPr>
          <w:ilvl w:val="2"/>
          <w:numId w:val="43"/>
        </w:numPr>
        <w:suppressAutoHyphens/>
        <w:overflowPunct w:val="0"/>
        <w:autoSpaceDE w:val="0"/>
        <w:spacing w:after="120" w:line="240" w:lineRule="auto"/>
        <w:jc w:val="both"/>
        <w:textAlignment w:val="baseline"/>
        <w:rPr>
          <w:rFonts w:ascii="Times New Roman" w:hAnsi="Times New Roman" w:cs="Times New Roman"/>
        </w:rPr>
      </w:pPr>
      <w:r w:rsidRPr="00F73875">
        <w:rPr>
          <w:rFonts w:ascii="Times New Roman" w:hAnsi="Times New Roman" w:cs="Times New Roman"/>
          <w:sz w:val="24"/>
          <w:szCs w:val="24"/>
        </w:rPr>
        <w:t>Pasūtītāj</w:t>
      </w:r>
      <w:r w:rsidR="0050420A" w:rsidRPr="00F73875">
        <w:rPr>
          <w:rFonts w:ascii="Times New Roman" w:hAnsi="Times New Roman" w:cs="Times New Roman"/>
          <w:sz w:val="24"/>
          <w:szCs w:val="24"/>
        </w:rPr>
        <w:t>i</w:t>
      </w:r>
      <w:r w:rsidRPr="00F73875">
        <w:rPr>
          <w:rFonts w:ascii="Times New Roman" w:hAnsi="Times New Roman" w:cs="Times New Roman"/>
          <w:sz w:val="24"/>
          <w:szCs w:val="24"/>
        </w:rPr>
        <w:t xml:space="preserve"> slēdz </w:t>
      </w:r>
      <w:r w:rsidR="0050420A" w:rsidRPr="00F73875">
        <w:rPr>
          <w:rFonts w:ascii="Times New Roman" w:hAnsi="Times New Roman" w:cs="Times New Roman"/>
          <w:sz w:val="24"/>
          <w:szCs w:val="24"/>
        </w:rPr>
        <w:t>i</w:t>
      </w:r>
      <w:r w:rsidRPr="00F73875">
        <w:rPr>
          <w:rFonts w:ascii="Times New Roman" w:hAnsi="Times New Roman" w:cs="Times New Roman"/>
          <w:sz w:val="24"/>
          <w:szCs w:val="24"/>
        </w:rPr>
        <w:t xml:space="preserve">epirkuma līgumu ar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retendentu, pamatojoties uz Tehnisko specifikāciju,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 xml:space="preserve">retendenta iesniegto </w:t>
      </w:r>
      <w:r w:rsidR="0050420A" w:rsidRPr="00F73875">
        <w:rPr>
          <w:rFonts w:ascii="Times New Roman" w:hAnsi="Times New Roman" w:cs="Times New Roman"/>
          <w:sz w:val="24"/>
          <w:szCs w:val="24"/>
        </w:rPr>
        <w:t>piedāvājumu</w:t>
      </w:r>
      <w:r w:rsidRPr="00F73875">
        <w:rPr>
          <w:rFonts w:ascii="Times New Roman" w:hAnsi="Times New Roman" w:cs="Times New Roman"/>
          <w:sz w:val="24"/>
          <w:szCs w:val="24"/>
        </w:rPr>
        <w:t xml:space="preserve">, saskaņā ar šādiem noteikumiem, ja </w:t>
      </w:r>
      <w:r w:rsidR="0050420A" w:rsidRPr="00F73875">
        <w:rPr>
          <w:rFonts w:ascii="Times New Roman" w:hAnsi="Times New Roman" w:cs="Times New Roman"/>
          <w:sz w:val="24"/>
          <w:szCs w:val="24"/>
        </w:rPr>
        <w:t>Tirgus izpētes veicējs</w:t>
      </w:r>
      <w:r w:rsidRPr="00F73875">
        <w:rPr>
          <w:rFonts w:ascii="Times New Roman" w:hAnsi="Times New Roman" w:cs="Times New Roman"/>
          <w:sz w:val="24"/>
          <w:szCs w:val="24"/>
        </w:rPr>
        <w:t xml:space="preserve"> un </w:t>
      </w:r>
      <w:r w:rsidR="0050420A" w:rsidRPr="00F73875">
        <w:rPr>
          <w:rFonts w:ascii="Times New Roman" w:hAnsi="Times New Roman" w:cs="Times New Roman"/>
          <w:sz w:val="24"/>
          <w:szCs w:val="24"/>
        </w:rPr>
        <w:t>p</w:t>
      </w:r>
      <w:r w:rsidRPr="00F73875">
        <w:rPr>
          <w:rFonts w:ascii="Times New Roman" w:hAnsi="Times New Roman" w:cs="Times New Roman"/>
          <w:sz w:val="24"/>
          <w:szCs w:val="24"/>
        </w:rPr>
        <w:t>retendents sarunās nav vienojušies par citiem noteikumiem:</w:t>
      </w:r>
    </w:p>
    <w:p w14:paraId="179C1D7D" w14:textId="65814AA5" w:rsidR="00940AEE" w:rsidRPr="00F73875" w:rsidRDefault="00940AEE" w:rsidP="00F73875">
      <w:pPr>
        <w:pStyle w:val="Sarakstarindkopa"/>
        <w:numPr>
          <w:ilvl w:val="3"/>
          <w:numId w:val="43"/>
        </w:numPr>
        <w:suppressAutoHyphens/>
        <w:overflowPunct w:val="0"/>
        <w:autoSpaceDE w:val="0"/>
        <w:spacing w:after="120" w:line="240" w:lineRule="auto"/>
        <w:ind w:left="1418" w:hanging="851"/>
        <w:jc w:val="both"/>
        <w:textAlignment w:val="baseline"/>
        <w:rPr>
          <w:rFonts w:ascii="Times New Roman" w:hAnsi="Times New Roman" w:cs="Times New Roman"/>
        </w:rPr>
      </w:pPr>
      <w:r w:rsidRPr="00F73875">
        <w:rPr>
          <w:rFonts w:ascii="Times New Roman" w:hAnsi="Times New Roman" w:cs="Times New Roman"/>
          <w:sz w:val="24"/>
          <w:szCs w:val="24"/>
        </w:rPr>
        <w:t xml:space="preserve">Piedāvātā </w:t>
      </w:r>
      <w:r w:rsidR="00415852" w:rsidRPr="00F73875">
        <w:rPr>
          <w:rFonts w:ascii="Times New Roman" w:hAnsi="Times New Roman" w:cs="Times New Roman"/>
          <w:sz w:val="24"/>
          <w:szCs w:val="24"/>
        </w:rPr>
        <w:t>p</w:t>
      </w:r>
      <w:r w:rsidRPr="00F73875">
        <w:rPr>
          <w:rFonts w:ascii="Times New Roman" w:hAnsi="Times New Roman" w:cs="Times New Roman"/>
          <w:sz w:val="24"/>
          <w:szCs w:val="24"/>
        </w:rPr>
        <w:t xml:space="preserve">akalpojuma cena bez pievienotās vērtības nodokļa ir nemainīga visā </w:t>
      </w:r>
      <w:r w:rsidR="00415852" w:rsidRPr="00F73875">
        <w:rPr>
          <w:rFonts w:ascii="Times New Roman" w:hAnsi="Times New Roman" w:cs="Times New Roman"/>
          <w:sz w:val="24"/>
          <w:szCs w:val="24"/>
        </w:rPr>
        <w:t>i</w:t>
      </w:r>
      <w:r w:rsidRPr="00F73875">
        <w:rPr>
          <w:rFonts w:ascii="Times New Roman" w:hAnsi="Times New Roman" w:cs="Times New Roman"/>
          <w:sz w:val="24"/>
          <w:szCs w:val="24"/>
        </w:rPr>
        <w:t>epirkuma līguma darbības laikā;</w:t>
      </w:r>
    </w:p>
    <w:p w14:paraId="5B23FF61" w14:textId="5931E7AC" w:rsidR="00940AEE" w:rsidRPr="00940AEE" w:rsidRDefault="00940AEE" w:rsidP="00F73875">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415852">
        <w:rPr>
          <w:rFonts w:ascii="Times New Roman" w:hAnsi="Times New Roman" w:cs="Times New Roman"/>
          <w:sz w:val="24"/>
          <w:szCs w:val="24"/>
        </w:rPr>
        <w:t>i</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7572BF4F" w14:textId="4877DDD2" w:rsidR="00940AEE" w:rsidRPr="00415852" w:rsidRDefault="00940AEE" w:rsidP="00F73875">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4E2224EC" w14:textId="7EC27D7F" w:rsidR="00940AEE" w:rsidRDefault="00940AEE" w:rsidP="00083758">
      <w:pPr>
        <w:pStyle w:val="Sarakstarindkopa"/>
        <w:numPr>
          <w:ilvl w:val="3"/>
          <w:numId w:val="43"/>
        </w:numPr>
        <w:suppressAutoHyphens/>
        <w:overflowPunct w:val="0"/>
        <w:autoSpaceDE w:val="0"/>
        <w:spacing w:after="120" w:line="240" w:lineRule="auto"/>
        <w:ind w:left="1418" w:hanging="851"/>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Iepirkuma līguma slēgšanas laiks tiks noteikts,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retendentam un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 xml:space="preserve">iem </w:t>
      </w:r>
      <w:r w:rsidRPr="00415852">
        <w:rPr>
          <w:rFonts w:ascii="Times New Roman" w:hAnsi="Times New Roman" w:cs="Times New Roman"/>
          <w:sz w:val="24"/>
          <w:szCs w:val="24"/>
        </w:rPr>
        <w:t>vienojoties.</w:t>
      </w:r>
    </w:p>
    <w:p w14:paraId="06555A91" w14:textId="357B0024" w:rsidR="00FF6603" w:rsidRPr="00FF6603" w:rsidRDefault="00FF6603" w:rsidP="00F73875">
      <w:pPr>
        <w:pStyle w:val="Sarakstarindkopa"/>
        <w:numPr>
          <w:ilvl w:val="2"/>
          <w:numId w:val="43"/>
        </w:numPr>
        <w:suppressAutoHyphens/>
        <w:overflowPunct w:val="0"/>
        <w:autoSpaceDE w:val="0"/>
        <w:spacing w:after="12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Iepirkuma līgumu slēdz 1.2. punktā norādītie pasūtītāji un tirgus izpētes uzvarētājs. </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9334A2">
      <w:pPr>
        <w:pStyle w:val="Sarakstarindkopa"/>
        <w:numPr>
          <w:ilvl w:val="0"/>
          <w:numId w:val="4"/>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4C35FE49" w14:textId="7891A5EA" w:rsidR="00F636FC" w:rsidRPr="00F636FC" w:rsidRDefault="00F636FC" w:rsidP="00F636FC">
      <w:pPr>
        <w:numPr>
          <w:ilvl w:val="0"/>
          <w:numId w:val="35"/>
        </w:numPr>
        <w:spacing w:after="120" w:line="240" w:lineRule="auto"/>
        <w:ind w:left="567" w:hanging="567"/>
        <w:rPr>
          <w:rFonts w:ascii="Times New Roman" w:hAnsi="Times New Roman" w:cs="Times New Roman"/>
          <w:b/>
          <w:sz w:val="24"/>
          <w:szCs w:val="24"/>
        </w:rPr>
      </w:pPr>
      <w:r w:rsidRPr="00F636FC">
        <w:rPr>
          <w:rFonts w:ascii="Times New Roman" w:hAnsi="Times New Roman" w:cs="Times New Roman"/>
          <w:b/>
          <w:sz w:val="24"/>
          <w:szCs w:val="24"/>
        </w:rPr>
        <w:t>Iepirkuma pasūtītājs un pasūtījuma pamats</w:t>
      </w:r>
    </w:p>
    <w:p w14:paraId="31A7F3F2" w14:textId="7EE8A33D" w:rsidR="00F636FC" w:rsidRPr="00F636FC" w:rsidRDefault="00F636FC" w:rsidP="00F636FC">
      <w:pPr>
        <w:pStyle w:val="Sarakstarindkopa"/>
        <w:numPr>
          <w:ilvl w:val="1"/>
          <w:numId w:val="35"/>
        </w:numPr>
        <w:tabs>
          <w:tab w:val="left" w:pos="1134"/>
        </w:tabs>
        <w:spacing w:after="120" w:line="240" w:lineRule="auto"/>
        <w:ind w:left="1134" w:hanging="567"/>
        <w:contextualSpacing w:val="0"/>
        <w:jc w:val="both"/>
        <w:rPr>
          <w:rFonts w:ascii="Times New Roman" w:eastAsia="Times New Roman" w:hAnsi="Times New Roman" w:cs="Times New Roman"/>
          <w:bCs/>
          <w:iCs/>
          <w:sz w:val="24"/>
          <w:szCs w:val="24"/>
          <w:shd w:val="clear" w:color="auto" w:fill="FFFFFF"/>
        </w:rPr>
      </w:pPr>
      <w:r w:rsidRPr="00F636FC">
        <w:rPr>
          <w:rFonts w:ascii="Times New Roman" w:hAnsi="Times New Roman" w:cs="Times New Roman"/>
          <w:b/>
          <w:sz w:val="24"/>
          <w:szCs w:val="24"/>
        </w:rPr>
        <w:t xml:space="preserve">Pasūtītājs/i: </w:t>
      </w:r>
      <w:r w:rsidRPr="00F636FC">
        <w:rPr>
          <w:rFonts w:ascii="Times New Roman" w:hAnsi="Times New Roman" w:cs="Times New Roman"/>
          <w:sz w:val="24"/>
          <w:szCs w:val="24"/>
        </w:rPr>
        <w:t xml:space="preserve">Zemgales plānošanas reģions; </w:t>
      </w:r>
      <w:r w:rsidRPr="00F636FC">
        <w:rPr>
          <w:rFonts w:ascii="Times New Roman" w:eastAsia="Times New Roman" w:hAnsi="Times New Roman" w:cs="Times New Roman"/>
          <w:bCs/>
          <w:iCs/>
          <w:sz w:val="24"/>
          <w:szCs w:val="24"/>
          <w:shd w:val="clear" w:color="auto" w:fill="FFFFFF"/>
        </w:rPr>
        <w:t xml:space="preserve">Kurzemes plānošanas reģions; Latgales plānošanas reģions, Rīgas plānošanas reģions un Vidzemes plānošanas reģions </w:t>
      </w:r>
    </w:p>
    <w:p w14:paraId="0D3281B2" w14:textId="3B16EAA0" w:rsidR="00F636FC" w:rsidRPr="00F636FC" w:rsidRDefault="00F636FC" w:rsidP="00F636FC">
      <w:pPr>
        <w:pStyle w:val="Sarakstarindkopa"/>
        <w:numPr>
          <w:ilvl w:val="1"/>
          <w:numId w:val="35"/>
        </w:numPr>
        <w:tabs>
          <w:tab w:val="left" w:pos="1134"/>
        </w:tabs>
        <w:spacing w:after="120" w:line="240" w:lineRule="auto"/>
        <w:ind w:left="1134" w:hanging="567"/>
        <w:contextualSpacing w:val="0"/>
        <w:jc w:val="both"/>
        <w:rPr>
          <w:rFonts w:ascii="Times New Roman" w:hAnsi="Times New Roman" w:cs="Times New Roman"/>
          <w:sz w:val="24"/>
          <w:szCs w:val="24"/>
        </w:rPr>
      </w:pPr>
      <w:r w:rsidRPr="00F636FC">
        <w:rPr>
          <w:rFonts w:ascii="Times New Roman" w:hAnsi="Times New Roman" w:cs="Times New Roman"/>
          <w:sz w:val="24"/>
          <w:szCs w:val="24"/>
        </w:rPr>
        <w:t>Pasūtījuma pamats: 2015.</w:t>
      </w:r>
      <w:r>
        <w:rPr>
          <w:rFonts w:ascii="Times New Roman" w:hAnsi="Times New Roman" w:cs="Times New Roman"/>
          <w:sz w:val="24"/>
          <w:szCs w:val="24"/>
        </w:rPr>
        <w:t> </w:t>
      </w:r>
      <w:r w:rsidRPr="00F636FC">
        <w:rPr>
          <w:rFonts w:ascii="Times New Roman" w:hAnsi="Times New Roman" w:cs="Times New Roman"/>
          <w:sz w:val="24"/>
          <w:szCs w:val="24"/>
        </w:rPr>
        <w:t>gada 16.</w:t>
      </w:r>
      <w:r>
        <w:rPr>
          <w:rFonts w:ascii="Times New Roman" w:hAnsi="Times New Roman" w:cs="Times New Roman"/>
          <w:sz w:val="24"/>
          <w:szCs w:val="24"/>
        </w:rPr>
        <w:t> </w:t>
      </w:r>
      <w:r w:rsidRPr="00F636FC">
        <w:rPr>
          <w:rFonts w:ascii="Times New Roman" w:hAnsi="Times New Roman" w:cs="Times New Roman"/>
          <w:sz w:val="24"/>
          <w:szCs w:val="24"/>
        </w:rPr>
        <w:t xml:space="preserve">jūnija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 (turpmāk - MK313) un projektu (“Atver sirdi Zemgalē”, “Deinstitucionalizācija un sociālie pakalpojumi personām ar invaliditāti un bērniem”; “Kurzeme visiem”; “Deinstitucionalizācijas pasākumu īstenošana Latgales reģionā (DI)” un “Vidzeme iekļauj”) ieviešana. </w:t>
      </w:r>
    </w:p>
    <w:p w14:paraId="36AC726E" w14:textId="77777777" w:rsidR="00F636FC" w:rsidRPr="00F636FC" w:rsidRDefault="00F636FC" w:rsidP="00F636FC">
      <w:pPr>
        <w:numPr>
          <w:ilvl w:val="0"/>
          <w:numId w:val="35"/>
        </w:numPr>
        <w:spacing w:after="120" w:line="240" w:lineRule="auto"/>
        <w:ind w:left="567" w:hanging="567"/>
        <w:jc w:val="both"/>
        <w:rPr>
          <w:rFonts w:ascii="Times New Roman" w:hAnsi="Times New Roman" w:cs="Times New Roman"/>
          <w:b/>
          <w:sz w:val="24"/>
          <w:szCs w:val="24"/>
        </w:rPr>
      </w:pPr>
      <w:r w:rsidRPr="00F636FC">
        <w:rPr>
          <w:rFonts w:ascii="Times New Roman" w:hAnsi="Times New Roman" w:cs="Times New Roman"/>
          <w:b/>
          <w:sz w:val="24"/>
          <w:szCs w:val="24"/>
        </w:rPr>
        <w:t xml:space="preserve">Iepirkuma priekšmets: </w:t>
      </w:r>
      <w:r w:rsidRPr="00F636FC">
        <w:rPr>
          <w:rFonts w:ascii="Times New Roman" w:hAnsi="Times New Roman" w:cs="Times New Roman"/>
          <w:sz w:val="24"/>
          <w:szCs w:val="24"/>
        </w:rPr>
        <w:t>apmācību programmas „Pilngadīgu personu ar garīga rakstura traucējumiem (turpmāk - GRT) sagatavošana pārejai uz dzīvi sabiedrībā” un mācību materiālu izstrāde. Apmācību programmai jābūt piemērotai speciālistiem ar un bez priekšzināšanām sociālajā darbā (neatkarīgi no viņu pieredzes un iepriekšējās izglītības vai kvalifikācijas).</w:t>
      </w:r>
    </w:p>
    <w:p w14:paraId="16BE535F" w14:textId="21F91E06" w:rsidR="00F636FC" w:rsidRDefault="00F636FC" w:rsidP="00F636FC">
      <w:pPr>
        <w:numPr>
          <w:ilvl w:val="0"/>
          <w:numId w:val="35"/>
        </w:numPr>
        <w:spacing w:after="120" w:line="240" w:lineRule="auto"/>
        <w:ind w:left="567" w:hanging="567"/>
        <w:jc w:val="both"/>
        <w:rPr>
          <w:rFonts w:ascii="Times New Roman" w:hAnsi="Times New Roman" w:cs="Times New Roman"/>
          <w:b/>
          <w:sz w:val="24"/>
          <w:szCs w:val="24"/>
        </w:rPr>
      </w:pPr>
      <w:r w:rsidRPr="00F636FC">
        <w:rPr>
          <w:rFonts w:ascii="Times New Roman" w:hAnsi="Times New Roman" w:cs="Times New Roman"/>
          <w:b/>
          <w:sz w:val="24"/>
          <w:szCs w:val="24"/>
        </w:rPr>
        <w:t xml:space="preserve">Mērķauditorija: </w:t>
      </w:r>
      <w:r w:rsidRPr="00F636FC">
        <w:rPr>
          <w:rFonts w:ascii="Times New Roman" w:hAnsi="Times New Roman" w:cs="Times New Roman"/>
          <w:sz w:val="24"/>
          <w:szCs w:val="24"/>
        </w:rPr>
        <w:t>speciālisti, kas piedalās pilngadīgu personu ar GRT sagatavošanā pārejai uz dzīvi sabiedrībā (valsts sociālās aprūpes centru (turpmāk</w:t>
      </w:r>
      <w:r w:rsidR="00EB1542">
        <w:rPr>
          <w:rFonts w:ascii="Times New Roman" w:hAnsi="Times New Roman" w:cs="Times New Roman"/>
          <w:sz w:val="24"/>
          <w:szCs w:val="24"/>
        </w:rPr>
        <w:t xml:space="preserve"> – </w:t>
      </w:r>
      <w:r w:rsidRPr="00F636FC">
        <w:rPr>
          <w:rFonts w:ascii="Times New Roman" w:hAnsi="Times New Roman" w:cs="Times New Roman"/>
          <w:sz w:val="24"/>
          <w:szCs w:val="24"/>
        </w:rPr>
        <w:t>VSAC) speciālisti un pašvaldību piesaistītie sociālie mentori).</w:t>
      </w:r>
    </w:p>
    <w:p w14:paraId="0ED76DB6" w14:textId="4C8A5E06" w:rsidR="00EB1542" w:rsidRPr="00EB1542" w:rsidRDefault="00EB1542" w:rsidP="00F636FC">
      <w:pPr>
        <w:numPr>
          <w:ilvl w:val="0"/>
          <w:numId w:val="35"/>
        </w:numPr>
        <w:spacing w:after="12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Papildu informācija</w:t>
      </w:r>
    </w:p>
    <w:p w14:paraId="60C5EAB2" w14:textId="695F1974" w:rsidR="00F636FC" w:rsidRPr="00EB1542" w:rsidRDefault="00F636FC" w:rsidP="00EB1542">
      <w:pPr>
        <w:pStyle w:val="Sarakstarindkopa"/>
        <w:numPr>
          <w:ilvl w:val="1"/>
          <w:numId w:val="35"/>
        </w:numPr>
        <w:spacing w:after="120" w:line="240" w:lineRule="auto"/>
        <w:ind w:left="1134" w:hanging="567"/>
        <w:contextualSpacing w:val="0"/>
        <w:jc w:val="both"/>
        <w:rPr>
          <w:rFonts w:ascii="Times New Roman" w:hAnsi="Times New Roman" w:cs="Times New Roman"/>
          <w:b/>
          <w:sz w:val="24"/>
          <w:szCs w:val="24"/>
        </w:rPr>
      </w:pPr>
      <w:r w:rsidRPr="00EB1542">
        <w:rPr>
          <w:rFonts w:ascii="Times New Roman" w:eastAsia="Calibri" w:hAnsi="Times New Roman" w:cs="Times New Roman"/>
          <w:sz w:val="24"/>
          <w:szCs w:val="24"/>
        </w:rPr>
        <w:t xml:space="preserve">Izstrādājot apmācību programmu un </w:t>
      </w:r>
      <w:r w:rsidR="00EB1542">
        <w:rPr>
          <w:rFonts w:ascii="Times New Roman" w:eastAsia="Calibri" w:hAnsi="Times New Roman" w:cs="Times New Roman"/>
          <w:sz w:val="24"/>
          <w:szCs w:val="24"/>
        </w:rPr>
        <w:t xml:space="preserve">mācību </w:t>
      </w:r>
      <w:r w:rsidRPr="00EB1542">
        <w:rPr>
          <w:rFonts w:ascii="Times New Roman" w:eastAsia="Calibri" w:hAnsi="Times New Roman" w:cs="Times New Roman"/>
          <w:sz w:val="24"/>
          <w:szCs w:val="24"/>
        </w:rPr>
        <w:t xml:space="preserve">materiālus, jāņem vērā, ka: </w:t>
      </w:r>
    </w:p>
    <w:p w14:paraId="23C990AC" w14:textId="77777777" w:rsidR="00F636FC" w:rsidRPr="00F636FC" w:rsidRDefault="00F636FC" w:rsidP="00EB1542">
      <w:pPr>
        <w:pStyle w:val="Sarakstarindkopa"/>
        <w:numPr>
          <w:ilvl w:val="0"/>
          <w:numId w:val="39"/>
        </w:numPr>
        <w:spacing w:after="120" w:line="240" w:lineRule="auto"/>
        <w:contextualSpacing w:val="0"/>
        <w:jc w:val="both"/>
        <w:rPr>
          <w:rFonts w:ascii="Times New Roman" w:hAnsi="Times New Roman" w:cs="Times New Roman"/>
          <w:sz w:val="24"/>
          <w:szCs w:val="24"/>
        </w:rPr>
      </w:pPr>
      <w:r w:rsidRPr="00F636FC">
        <w:rPr>
          <w:rFonts w:ascii="Times New Roman" w:hAnsi="Times New Roman" w:cs="Times New Roman"/>
          <w:sz w:val="24"/>
          <w:szCs w:val="24"/>
        </w:rPr>
        <w:t xml:space="preserve">pilngadīgu personu ar GRT sagatavošanā pārejai uz dzīvi sabiedrībā </w:t>
      </w:r>
      <w:r w:rsidRPr="00F636FC">
        <w:rPr>
          <w:rFonts w:ascii="Times New Roman" w:hAnsi="Times New Roman" w:cs="Times New Roman"/>
          <w:sz w:val="24"/>
          <w:szCs w:val="24"/>
          <w:u w:val="single"/>
        </w:rPr>
        <w:t>VSAC speciālistiem</w:t>
      </w:r>
      <w:r w:rsidRPr="00F636FC">
        <w:rPr>
          <w:rFonts w:ascii="Times New Roman" w:hAnsi="Times New Roman" w:cs="Times New Roman"/>
          <w:sz w:val="24"/>
          <w:szCs w:val="24"/>
        </w:rPr>
        <w:t xml:space="preserve"> ir nepieciešams uzlabot pilngadīgu personu ar GRT pašaprūpes, neatkarības un patstāvīgas dzīves prasmes; </w:t>
      </w:r>
    </w:p>
    <w:p w14:paraId="06BFE071" w14:textId="77777777" w:rsidR="00F636FC" w:rsidRPr="00F636FC" w:rsidRDefault="00F636FC" w:rsidP="00EB1542">
      <w:pPr>
        <w:pStyle w:val="Sarakstarindkopa"/>
        <w:numPr>
          <w:ilvl w:val="0"/>
          <w:numId w:val="39"/>
        </w:numPr>
        <w:spacing w:after="120" w:line="240" w:lineRule="auto"/>
        <w:contextualSpacing w:val="0"/>
        <w:jc w:val="both"/>
        <w:rPr>
          <w:rFonts w:ascii="Times New Roman" w:hAnsi="Times New Roman" w:cs="Times New Roman"/>
          <w:sz w:val="24"/>
          <w:szCs w:val="24"/>
        </w:rPr>
      </w:pPr>
      <w:r w:rsidRPr="00F636FC">
        <w:rPr>
          <w:rFonts w:ascii="Times New Roman" w:hAnsi="Times New Roman" w:cs="Times New Roman"/>
          <w:sz w:val="24"/>
          <w:szCs w:val="24"/>
          <w:u w:val="single"/>
        </w:rPr>
        <w:t>pašvaldība piesaistītajiem sociālajiem mentoriem</w:t>
      </w:r>
      <w:r w:rsidRPr="00F636FC">
        <w:rPr>
          <w:rFonts w:ascii="Times New Roman" w:hAnsi="Times New Roman" w:cs="Times New Roman"/>
          <w:sz w:val="24"/>
          <w:szCs w:val="24"/>
        </w:rPr>
        <w:t xml:space="preserve"> jāveido pilngadīgu personu ar GRT izpratne par dzīvi sabiedrībā, jāsniedz atbalsts, jāpalīdz reālā sabiedrības vidē apgūt ikdienai nepieciešamās prasmes, jārosina attīstīt esošās un jaunas iemaņas. </w:t>
      </w:r>
    </w:p>
    <w:p w14:paraId="0A120D3F" w14:textId="77777777" w:rsidR="00F636FC" w:rsidRPr="00EB1542" w:rsidRDefault="00F636FC" w:rsidP="00F636FC">
      <w:pPr>
        <w:spacing w:after="120" w:line="240" w:lineRule="auto"/>
        <w:ind w:left="284"/>
        <w:jc w:val="both"/>
        <w:rPr>
          <w:rFonts w:ascii="Times New Roman" w:hAnsi="Times New Roman" w:cs="Times New Roman"/>
          <w:i/>
          <w:color w:val="222222"/>
          <w:sz w:val="24"/>
          <w:szCs w:val="24"/>
          <w:shd w:val="clear" w:color="auto" w:fill="FFFFFF"/>
        </w:rPr>
      </w:pPr>
      <w:r w:rsidRPr="00EB1542">
        <w:rPr>
          <w:rFonts w:ascii="Times New Roman" w:hAnsi="Times New Roman" w:cs="Times New Roman"/>
          <w:i/>
          <w:sz w:val="24"/>
          <w:szCs w:val="24"/>
        </w:rPr>
        <w:t xml:space="preserve">VSAC speciālistu pienākumi skatāmi </w:t>
      </w:r>
      <w:r w:rsidRPr="00EB1542">
        <w:rPr>
          <w:rFonts w:ascii="Times New Roman" w:hAnsi="Times New Roman" w:cs="Times New Roman"/>
          <w:i/>
          <w:color w:val="222222"/>
          <w:sz w:val="24"/>
          <w:szCs w:val="24"/>
          <w:shd w:val="clear" w:color="auto" w:fill="FFFFFF"/>
        </w:rPr>
        <w:t xml:space="preserve">Labklājības ministrijas izstrādātajā 2017.gada 13.jūnija dokumentā - "VADLĪNIJAS sociālās rehabilitācijas pakalpojuma organizēšanai pusceļa mājā personām ar garīga rakstura traucējumiem". Vadlīnijas pieejamas LM mājas lapā: </w:t>
      </w:r>
      <w:hyperlink r:id="rId8" w:history="1">
        <w:r w:rsidRPr="00EB1542">
          <w:rPr>
            <w:rStyle w:val="Hipersaite"/>
            <w:rFonts w:ascii="Times New Roman" w:hAnsi="Times New Roman" w:cs="Times New Roman"/>
            <w:i/>
            <w:sz w:val="24"/>
            <w:szCs w:val="24"/>
            <w:shd w:val="clear" w:color="auto" w:fill="FFFFFF"/>
          </w:rPr>
          <w:t>http://www.lm.gov.lv/upload/socialie_pakalpojumi/vadlin_reh_progr_patstaviga_dzive_13062017.pdf</w:t>
        </w:r>
      </w:hyperlink>
      <w:r w:rsidRPr="00EB1542">
        <w:rPr>
          <w:rFonts w:ascii="Times New Roman" w:hAnsi="Times New Roman" w:cs="Times New Roman"/>
          <w:i/>
          <w:color w:val="222222"/>
          <w:sz w:val="24"/>
          <w:szCs w:val="24"/>
          <w:shd w:val="clear" w:color="auto" w:fill="FFFFFF"/>
        </w:rPr>
        <w:t> </w:t>
      </w:r>
    </w:p>
    <w:p w14:paraId="28E45A3D" w14:textId="01D5B68E" w:rsidR="00F636FC" w:rsidRPr="00EB1542" w:rsidRDefault="00F636FC" w:rsidP="00EB1542">
      <w:pPr>
        <w:pStyle w:val="Sarakstarindkopa"/>
        <w:numPr>
          <w:ilvl w:val="1"/>
          <w:numId w:val="35"/>
        </w:numPr>
        <w:spacing w:after="120" w:line="240" w:lineRule="auto"/>
        <w:ind w:left="1134" w:hanging="425"/>
        <w:contextualSpacing w:val="0"/>
        <w:jc w:val="both"/>
        <w:rPr>
          <w:rFonts w:ascii="Times New Roman" w:hAnsi="Times New Roman" w:cs="Times New Roman"/>
          <w:sz w:val="24"/>
          <w:szCs w:val="24"/>
        </w:rPr>
      </w:pPr>
      <w:r w:rsidRPr="00EB1542">
        <w:rPr>
          <w:rFonts w:ascii="Times New Roman" w:hAnsi="Times New Roman" w:cs="Times New Roman"/>
          <w:sz w:val="24"/>
          <w:szCs w:val="24"/>
        </w:rPr>
        <w:t xml:space="preserve">Personu ar GRT sagatavošanas pārejai uz dzīvi sabiedrībā iesaistīto sociālo mentoru uzdevumi un pienākumi ir izstrādes procesā, bet varētu būt, piemēram, šādi: </w:t>
      </w:r>
    </w:p>
    <w:p w14:paraId="5B668D3B" w14:textId="7844395C" w:rsidR="00F636FC" w:rsidRPr="00EB1542" w:rsidRDefault="00F636FC" w:rsidP="00EB1542">
      <w:pPr>
        <w:pStyle w:val="Sarakstarindkopa"/>
        <w:numPr>
          <w:ilvl w:val="2"/>
          <w:numId w:val="35"/>
        </w:numPr>
        <w:spacing w:after="120" w:line="240" w:lineRule="auto"/>
        <w:ind w:left="1843" w:hanging="567"/>
        <w:contextualSpacing w:val="0"/>
        <w:jc w:val="both"/>
        <w:rPr>
          <w:rFonts w:ascii="Times New Roman" w:hAnsi="Times New Roman" w:cs="Times New Roman"/>
          <w:sz w:val="24"/>
          <w:szCs w:val="24"/>
        </w:rPr>
      </w:pPr>
      <w:r w:rsidRPr="00EB1542">
        <w:rPr>
          <w:rFonts w:ascii="Times New Roman" w:hAnsi="Times New Roman" w:cs="Times New Roman"/>
          <w:b/>
          <w:sz w:val="24"/>
          <w:szCs w:val="24"/>
        </w:rPr>
        <w:t>Sociālā mentora pamatuzdevums</w:t>
      </w:r>
      <w:r w:rsidRPr="00EB1542">
        <w:rPr>
          <w:rFonts w:ascii="Times New Roman" w:hAnsi="Times New Roman" w:cs="Times New Roman"/>
          <w:sz w:val="24"/>
          <w:szCs w:val="24"/>
        </w:rPr>
        <w:t xml:space="preserve"> ir sniegt atbalstu personai ar GRT, kura saņem pakalpojumu VSAC, viņa pārejas posmā no institūcijas uz dzīvi sabiedrībā:</w:t>
      </w:r>
    </w:p>
    <w:p w14:paraId="0844FDAF"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veidojot personas ar GRT izpratni par dzīvi sabiedrībā;</w:t>
      </w:r>
    </w:p>
    <w:p w14:paraId="59C4CF9B" w14:textId="61D9D5D1"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palīdzot apgūt ikdienai nepieciešamās prasmes reālā sabiedrības vidē, </w:t>
      </w:r>
    </w:p>
    <w:p w14:paraId="6E5D4D84"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rosinot attīstīt un radīt jaunas iemaņas; </w:t>
      </w:r>
    </w:p>
    <w:p w14:paraId="0C73A37D"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 xml:space="preserve">sniedzot atbalstu ikdienas situāciju risināšanā, kā resursus izmantojot savas zināšanas un vidē pieejamos resursus; </w:t>
      </w:r>
    </w:p>
    <w:p w14:paraId="4B53A07E"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lastRenderedPageBreak/>
        <w:t xml:space="preserve">veicot situācijas apzināšanu un sniedzot iespējamo risinājumu, </w:t>
      </w:r>
    </w:p>
    <w:p w14:paraId="6240D072" w14:textId="77777777" w:rsidR="00F636FC" w:rsidRPr="00F636FC" w:rsidRDefault="00F636FC" w:rsidP="00EB1542">
      <w:pPr>
        <w:numPr>
          <w:ilvl w:val="0"/>
          <w:numId w:val="40"/>
        </w:numPr>
        <w:tabs>
          <w:tab w:val="clear" w:pos="2880"/>
          <w:tab w:val="num" w:pos="241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sidRPr="00F636FC">
        <w:rPr>
          <w:rFonts w:ascii="Times New Roman" w:hAnsi="Times New Roman" w:cs="Times New Roman"/>
          <w:sz w:val="24"/>
          <w:szCs w:val="24"/>
        </w:rPr>
        <w:t>sadarbojoties ar pašu personu ar GRT un/vai tās ģimeni un sociālo dienestu speciālistiem.</w:t>
      </w:r>
    </w:p>
    <w:p w14:paraId="6B899AF9" w14:textId="41CA0400" w:rsidR="00F636FC" w:rsidRPr="00EB1542" w:rsidRDefault="00F636FC" w:rsidP="00EB1542">
      <w:pPr>
        <w:pStyle w:val="Sarakstarindkopa"/>
        <w:numPr>
          <w:ilvl w:val="2"/>
          <w:numId w:val="35"/>
        </w:numPr>
        <w:tabs>
          <w:tab w:val="num" w:pos="720"/>
        </w:tabs>
        <w:spacing w:after="120" w:line="240" w:lineRule="auto"/>
        <w:ind w:left="1843" w:hanging="567"/>
        <w:jc w:val="both"/>
        <w:rPr>
          <w:rFonts w:ascii="Times New Roman" w:hAnsi="Times New Roman" w:cs="Times New Roman"/>
          <w:sz w:val="24"/>
          <w:szCs w:val="24"/>
        </w:rPr>
      </w:pPr>
      <w:r w:rsidRPr="00EB1542">
        <w:rPr>
          <w:rFonts w:ascii="Times New Roman" w:hAnsi="Times New Roman" w:cs="Times New Roman"/>
          <w:b/>
          <w:bCs/>
          <w:sz w:val="24"/>
          <w:szCs w:val="24"/>
        </w:rPr>
        <w:t>Sociālā mentora pienākumi:</w:t>
      </w:r>
    </w:p>
    <w:p w14:paraId="190B4270" w14:textId="1CEEE9B3"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klienta spēju orientēties apkārtējā vidē;</w:t>
      </w:r>
    </w:p>
    <w:p w14:paraId="60007F74" w14:textId="4B6C1252"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s</w:t>
      </w:r>
      <w:r w:rsidR="00F636FC" w:rsidRPr="00F636FC">
        <w:rPr>
          <w:rFonts w:ascii="Times New Roman" w:hAnsi="Times New Roman" w:cs="Times New Roman"/>
          <w:sz w:val="24"/>
          <w:szCs w:val="24"/>
        </w:rPr>
        <w:t>adarboties ar pašvaldības un VSAC sociālā darba speciālistiem, kuri iesaistīti personas ar GRT sagatavošanas procesā pārejai uz dzīvi sabiedrībā;</w:t>
      </w:r>
    </w:p>
    <w:p w14:paraId="0E266AE6" w14:textId="2031ED6B"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a</w:t>
      </w:r>
      <w:r w:rsidR="00F636FC" w:rsidRPr="00F636FC">
        <w:rPr>
          <w:rFonts w:ascii="Times New Roman" w:hAnsi="Times New Roman" w:cs="Times New Roman"/>
          <w:sz w:val="24"/>
          <w:szCs w:val="24"/>
        </w:rPr>
        <w:t>tbalstīt personu ar GRT individuālā atbalsta plānā noteikto uzdevumu izpildē;</w:t>
      </w:r>
    </w:p>
    <w:p w14:paraId="72DFA04A" w14:textId="303C7662"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sociālo prasmju apguvi, pilnveidi un uzturēšanu;</w:t>
      </w:r>
    </w:p>
    <w:p w14:paraId="08153391" w14:textId="14480B8A"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interesi, vēlmi un gribu dzīvot patstāvīgi un pilnvērtīgi;</w:t>
      </w:r>
    </w:p>
    <w:p w14:paraId="3067FEBE" w14:textId="3EBB76ED"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eicināt personas ar GRT līdzdarbību sociālo pakalpojumu izvēlē un saņemšanā;</w:t>
      </w:r>
    </w:p>
    <w:p w14:paraId="20A49A4A" w14:textId="5C1A69A2" w:rsidR="00F636FC" w:rsidRPr="00F636FC" w:rsidRDefault="00EB1542" w:rsidP="00EB1542">
      <w:pPr>
        <w:numPr>
          <w:ilvl w:val="0"/>
          <w:numId w:val="41"/>
        </w:numPr>
        <w:tabs>
          <w:tab w:val="clear" w:pos="720"/>
        </w:tabs>
        <w:overflowPunct w:val="0"/>
        <w:autoSpaceDE w:val="0"/>
        <w:autoSpaceDN w:val="0"/>
        <w:adjustRightInd w:val="0"/>
        <w:spacing w:after="120" w:line="240" w:lineRule="auto"/>
        <w:ind w:left="2410" w:hanging="425"/>
        <w:jc w:val="both"/>
        <w:textAlignment w:val="baseline"/>
        <w:rPr>
          <w:rFonts w:ascii="Times New Roman" w:hAnsi="Times New Roman" w:cs="Times New Roman"/>
          <w:sz w:val="24"/>
          <w:szCs w:val="24"/>
        </w:rPr>
      </w:pPr>
      <w:r>
        <w:rPr>
          <w:rFonts w:ascii="Times New Roman" w:hAnsi="Times New Roman" w:cs="Times New Roman"/>
          <w:sz w:val="24"/>
          <w:szCs w:val="24"/>
        </w:rPr>
        <w:t>v</w:t>
      </w:r>
      <w:r w:rsidR="00F636FC" w:rsidRPr="00F636FC">
        <w:rPr>
          <w:rFonts w:ascii="Times New Roman" w:hAnsi="Times New Roman" w:cs="Times New Roman"/>
          <w:sz w:val="24"/>
          <w:szCs w:val="24"/>
        </w:rPr>
        <w:t xml:space="preserve">eicināt personas ar GRT iesaisti nodarbinātības un/vai izglītības un/vai brīvā laika pavadīšanas jautājumu risināšanā. </w:t>
      </w:r>
    </w:p>
    <w:p w14:paraId="09089752" w14:textId="16569CA3" w:rsidR="00F636FC" w:rsidRPr="00EB1542" w:rsidRDefault="00F636FC" w:rsidP="00EB1542">
      <w:pPr>
        <w:pStyle w:val="Sarakstarindkopa"/>
        <w:numPr>
          <w:ilvl w:val="1"/>
          <w:numId w:val="35"/>
        </w:numPr>
        <w:spacing w:after="120" w:line="240" w:lineRule="auto"/>
        <w:ind w:left="1134" w:hanging="425"/>
        <w:jc w:val="both"/>
        <w:rPr>
          <w:rFonts w:ascii="Times New Roman" w:hAnsi="Times New Roman" w:cs="Times New Roman"/>
          <w:sz w:val="24"/>
          <w:szCs w:val="24"/>
        </w:rPr>
      </w:pPr>
      <w:r w:rsidRPr="00EB1542">
        <w:rPr>
          <w:rFonts w:ascii="Times New Roman" w:hAnsi="Times New Roman" w:cs="Times New Roman"/>
          <w:sz w:val="24"/>
          <w:szCs w:val="24"/>
        </w:rPr>
        <w:t>Nepieciešamības gadījumā var tikt organizētas tikšanās ar</w:t>
      </w:r>
      <w:r w:rsidR="00EB1542">
        <w:rPr>
          <w:rFonts w:ascii="Times New Roman" w:hAnsi="Times New Roman" w:cs="Times New Roman"/>
          <w:sz w:val="24"/>
          <w:szCs w:val="24"/>
        </w:rPr>
        <w:t xml:space="preserve"> pasūtītājiem</w:t>
      </w:r>
      <w:r w:rsidRPr="00EB1542">
        <w:rPr>
          <w:rFonts w:ascii="Times New Roman" w:hAnsi="Times New Roman" w:cs="Times New Roman"/>
          <w:sz w:val="24"/>
          <w:szCs w:val="24"/>
        </w:rPr>
        <w:t xml:space="preserve"> un ieinteresētajām pusēm (piem., LM, NVO, VSAC, pašvaldības) par VSAC speciālistu un sociālo mentoru pienākumiem personu ar GRT sagatavošanā pārejai uz dzīvi sabiedrībā.</w:t>
      </w:r>
    </w:p>
    <w:p w14:paraId="29A1D3C5" w14:textId="259C423F" w:rsidR="00F636FC" w:rsidRPr="00EB1542" w:rsidRDefault="00F636FC" w:rsidP="00EB1542">
      <w:pPr>
        <w:numPr>
          <w:ilvl w:val="0"/>
          <w:numId w:val="35"/>
        </w:numPr>
        <w:spacing w:after="120" w:line="240" w:lineRule="auto"/>
        <w:ind w:left="567" w:hanging="567"/>
        <w:jc w:val="both"/>
        <w:rPr>
          <w:rFonts w:ascii="Times New Roman" w:hAnsi="Times New Roman" w:cs="Times New Roman"/>
          <w:b/>
          <w:sz w:val="24"/>
          <w:szCs w:val="24"/>
        </w:rPr>
      </w:pPr>
      <w:r w:rsidRPr="00F636FC">
        <w:rPr>
          <w:rFonts w:ascii="Times New Roman" w:hAnsi="Times New Roman" w:cs="Times New Roman"/>
          <w:b/>
          <w:sz w:val="24"/>
          <w:szCs w:val="24"/>
        </w:rPr>
        <w:t>Darba uzdevums</w:t>
      </w:r>
      <w:r w:rsidRPr="00EB1542">
        <w:rPr>
          <w:rFonts w:ascii="Times New Roman" w:hAnsi="Times New Roman" w:cs="Times New Roman"/>
          <w:b/>
          <w:sz w:val="24"/>
          <w:szCs w:val="24"/>
        </w:rPr>
        <w:t xml:space="preserve">: </w:t>
      </w:r>
      <w:r w:rsidRPr="00EB1542">
        <w:rPr>
          <w:rFonts w:ascii="Times New Roman" w:hAnsi="Times New Roman" w:cs="Times New Roman"/>
          <w:sz w:val="24"/>
          <w:szCs w:val="24"/>
        </w:rPr>
        <w:t>izstrādāt ne mazāk kā 100</w:t>
      </w:r>
      <w:r w:rsidR="00EB1542">
        <w:rPr>
          <w:rFonts w:ascii="Times New Roman" w:hAnsi="Times New Roman" w:cs="Times New Roman"/>
          <w:sz w:val="24"/>
          <w:szCs w:val="24"/>
        </w:rPr>
        <w:t xml:space="preserve"> </w:t>
      </w:r>
      <w:r w:rsidRPr="00EB1542">
        <w:rPr>
          <w:rFonts w:ascii="Times New Roman" w:hAnsi="Times New Roman" w:cs="Times New Roman"/>
          <w:sz w:val="24"/>
          <w:szCs w:val="24"/>
        </w:rPr>
        <w:t>h un ne vairāk kā 159</w:t>
      </w:r>
      <w:r w:rsidR="00EB1542">
        <w:rPr>
          <w:rFonts w:ascii="Times New Roman" w:hAnsi="Times New Roman" w:cs="Times New Roman"/>
          <w:sz w:val="24"/>
          <w:szCs w:val="24"/>
        </w:rPr>
        <w:t xml:space="preserve"> </w:t>
      </w:r>
      <w:r w:rsidRPr="00EB1542">
        <w:rPr>
          <w:rFonts w:ascii="Times New Roman" w:hAnsi="Times New Roman" w:cs="Times New Roman"/>
          <w:sz w:val="24"/>
          <w:szCs w:val="24"/>
        </w:rPr>
        <w:t>h apmācību programmu “Pilngadīgu personu ar garīga rakstura traucējumiem sagatavošana pārejai uz dzīvi sabiedrībā” apmācībās iesaistīto speciālistu profesionālo prasmju pilnveidei:</w:t>
      </w:r>
    </w:p>
    <w:p w14:paraId="40460223" w14:textId="220250A0" w:rsidR="00F636FC" w:rsidRPr="00F636FC" w:rsidRDefault="00F636FC" w:rsidP="00EB1542">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F636FC">
        <w:rPr>
          <w:rFonts w:ascii="Times New Roman" w:hAnsi="Times New Roman" w:cs="Times New Roman"/>
          <w:sz w:val="24"/>
          <w:szCs w:val="24"/>
        </w:rPr>
        <w:t xml:space="preserve"> </w:t>
      </w:r>
      <w:r w:rsidR="00EB1542">
        <w:rPr>
          <w:rFonts w:ascii="Times New Roman" w:hAnsi="Times New Roman" w:cs="Times New Roman"/>
          <w:sz w:val="24"/>
          <w:szCs w:val="24"/>
        </w:rPr>
        <w:t>K</w:t>
      </w:r>
      <w:r w:rsidRPr="00F636FC">
        <w:rPr>
          <w:rFonts w:ascii="Times New Roman" w:hAnsi="Times New Roman" w:cs="Times New Roman"/>
          <w:sz w:val="24"/>
          <w:szCs w:val="24"/>
        </w:rPr>
        <w:t>ura iekļauj 3 moduļus ne mazāk kā 100</w:t>
      </w:r>
      <w:r w:rsidR="00EB1542">
        <w:rPr>
          <w:rFonts w:ascii="Times New Roman" w:hAnsi="Times New Roman" w:cs="Times New Roman"/>
          <w:sz w:val="24"/>
          <w:szCs w:val="24"/>
        </w:rPr>
        <w:t xml:space="preserve"> </w:t>
      </w:r>
      <w:r w:rsidRPr="00F636FC">
        <w:rPr>
          <w:rFonts w:ascii="Times New Roman" w:hAnsi="Times New Roman" w:cs="Times New Roman"/>
          <w:sz w:val="24"/>
          <w:szCs w:val="24"/>
        </w:rPr>
        <w:t>h apjomā (60</w:t>
      </w:r>
      <w:r w:rsidR="00EB1542">
        <w:rPr>
          <w:rFonts w:ascii="Times New Roman" w:hAnsi="Times New Roman" w:cs="Times New Roman"/>
          <w:sz w:val="24"/>
          <w:szCs w:val="24"/>
        </w:rPr>
        <w:t xml:space="preserve"> </w:t>
      </w:r>
      <w:r w:rsidRPr="00F636FC">
        <w:rPr>
          <w:rFonts w:ascii="Times New Roman" w:hAnsi="Times New Roman" w:cs="Times New Roman"/>
          <w:sz w:val="24"/>
          <w:szCs w:val="24"/>
        </w:rPr>
        <w:t>h kopīgais, 20</w:t>
      </w:r>
      <w:r w:rsidR="00EB1542">
        <w:rPr>
          <w:rFonts w:ascii="Times New Roman" w:hAnsi="Times New Roman" w:cs="Times New Roman"/>
          <w:sz w:val="24"/>
          <w:szCs w:val="24"/>
        </w:rPr>
        <w:t xml:space="preserve"> </w:t>
      </w:r>
      <w:r w:rsidRPr="00F636FC">
        <w:rPr>
          <w:rFonts w:ascii="Times New Roman" w:hAnsi="Times New Roman" w:cs="Times New Roman"/>
          <w:sz w:val="24"/>
          <w:szCs w:val="24"/>
        </w:rPr>
        <w:t>h specializētais - vienai mērķa grupai – sociālajiem mentoriem un 20</w:t>
      </w:r>
      <w:r w:rsidR="00EB1542">
        <w:rPr>
          <w:rFonts w:ascii="Times New Roman" w:hAnsi="Times New Roman" w:cs="Times New Roman"/>
          <w:sz w:val="24"/>
          <w:szCs w:val="24"/>
        </w:rPr>
        <w:t xml:space="preserve"> </w:t>
      </w:r>
      <w:r w:rsidRPr="00F636FC">
        <w:rPr>
          <w:rFonts w:ascii="Times New Roman" w:hAnsi="Times New Roman" w:cs="Times New Roman"/>
          <w:sz w:val="24"/>
          <w:szCs w:val="24"/>
        </w:rPr>
        <w:t>h specializētais - otrai mērķa grupai - VSAC speciālistiem, un 20</w:t>
      </w:r>
      <w:r w:rsidR="00EB1542">
        <w:rPr>
          <w:rFonts w:ascii="Times New Roman" w:hAnsi="Times New Roman" w:cs="Times New Roman"/>
          <w:sz w:val="24"/>
          <w:szCs w:val="24"/>
        </w:rPr>
        <w:t xml:space="preserve"> </w:t>
      </w:r>
      <w:r w:rsidRPr="00F636FC">
        <w:rPr>
          <w:rFonts w:ascii="Times New Roman" w:hAnsi="Times New Roman" w:cs="Times New Roman"/>
          <w:sz w:val="24"/>
          <w:szCs w:val="24"/>
        </w:rPr>
        <w:t xml:space="preserve">h praktiskais modulis). </w:t>
      </w:r>
    </w:p>
    <w:p w14:paraId="58CCBCD3" w14:textId="03A37C00" w:rsidR="00F636FC" w:rsidRPr="00F636FC" w:rsidRDefault="00F636FC" w:rsidP="00F636FC">
      <w:pPr>
        <w:keepNext/>
        <w:numPr>
          <w:ilvl w:val="1"/>
          <w:numId w:val="35"/>
        </w:numPr>
        <w:tabs>
          <w:tab w:val="left" w:pos="426"/>
        </w:tabs>
        <w:overflowPunct w:val="0"/>
        <w:autoSpaceDE w:val="0"/>
        <w:autoSpaceDN w:val="0"/>
        <w:adjustRightInd w:val="0"/>
        <w:spacing w:after="120" w:line="240" w:lineRule="auto"/>
        <w:jc w:val="both"/>
        <w:textAlignment w:val="baseline"/>
        <w:outlineLvl w:val="0"/>
        <w:rPr>
          <w:rFonts w:ascii="Times New Roman" w:hAnsi="Times New Roman" w:cs="Times New Roman"/>
          <w:sz w:val="24"/>
          <w:szCs w:val="24"/>
        </w:rPr>
      </w:pPr>
      <w:r w:rsidRPr="00F636FC">
        <w:rPr>
          <w:rFonts w:ascii="Times New Roman" w:hAnsi="Times New Roman" w:cs="Times New Roman"/>
          <w:sz w:val="24"/>
          <w:szCs w:val="24"/>
        </w:rPr>
        <w:t xml:space="preserve"> </w:t>
      </w:r>
      <w:r w:rsidR="00EB1542">
        <w:rPr>
          <w:rFonts w:ascii="Times New Roman" w:hAnsi="Times New Roman" w:cs="Times New Roman"/>
          <w:sz w:val="24"/>
          <w:szCs w:val="24"/>
        </w:rPr>
        <w:t>T</w:t>
      </w:r>
      <w:r w:rsidRPr="00F636FC">
        <w:rPr>
          <w:rFonts w:ascii="Times New Roman" w:hAnsi="Times New Roman" w:cs="Times New Roman"/>
          <w:sz w:val="24"/>
          <w:szCs w:val="24"/>
        </w:rPr>
        <w:t>ās saturs ietver vismaz šādas tematiskās 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2402"/>
        <w:gridCol w:w="3744"/>
        <w:gridCol w:w="2482"/>
      </w:tblGrid>
      <w:tr w:rsidR="00F636FC" w:rsidRPr="00F636FC" w14:paraId="24475F9A" w14:textId="77777777" w:rsidTr="00CD08C0">
        <w:trPr>
          <w:tblHeader/>
        </w:trPr>
        <w:tc>
          <w:tcPr>
            <w:tcW w:w="659" w:type="dxa"/>
            <w:shd w:val="clear" w:color="auto" w:fill="auto"/>
          </w:tcPr>
          <w:p w14:paraId="4174C8C3" w14:textId="77777777" w:rsidR="00F636FC" w:rsidRPr="00F636FC" w:rsidRDefault="00F636FC" w:rsidP="00F636FC">
            <w:pPr>
              <w:pStyle w:val="Sarakstarindkopa"/>
              <w:spacing w:after="120" w:line="240" w:lineRule="auto"/>
              <w:ind w:left="0"/>
              <w:contextualSpacing w:val="0"/>
              <w:rPr>
                <w:rFonts w:ascii="Times New Roman" w:hAnsi="Times New Roman" w:cs="Times New Roman"/>
                <w:b/>
                <w:sz w:val="24"/>
                <w:szCs w:val="24"/>
              </w:rPr>
            </w:pPr>
            <w:r w:rsidRPr="00F636FC">
              <w:rPr>
                <w:rFonts w:ascii="Times New Roman" w:hAnsi="Times New Roman" w:cs="Times New Roman"/>
                <w:b/>
                <w:sz w:val="24"/>
                <w:szCs w:val="24"/>
              </w:rPr>
              <w:t>Nr. p.k.</w:t>
            </w:r>
          </w:p>
        </w:tc>
        <w:tc>
          <w:tcPr>
            <w:tcW w:w="2402" w:type="dxa"/>
            <w:shd w:val="clear" w:color="auto" w:fill="auto"/>
          </w:tcPr>
          <w:p w14:paraId="3846C013" w14:textId="77777777" w:rsidR="00F636FC" w:rsidRPr="00F636FC" w:rsidRDefault="00F636FC" w:rsidP="00F636FC">
            <w:pPr>
              <w:pStyle w:val="Sarakstarindkopa"/>
              <w:spacing w:after="120" w:line="240" w:lineRule="auto"/>
              <w:ind w:left="0"/>
              <w:contextualSpacing w:val="0"/>
              <w:rPr>
                <w:rFonts w:ascii="Times New Roman" w:hAnsi="Times New Roman" w:cs="Times New Roman"/>
                <w:b/>
                <w:sz w:val="24"/>
                <w:szCs w:val="24"/>
              </w:rPr>
            </w:pPr>
            <w:r w:rsidRPr="00F636FC">
              <w:rPr>
                <w:rFonts w:ascii="Times New Roman" w:hAnsi="Times New Roman" w:cs="Times New Roman"/>
                <w:b/>
                <w:sz w:val="24"/>
                <w:szCs w:val="24"/>
              </w:rPr>
              <w:t>Mācību programmas tematiskā daļa</w:t>
            </w:r>
          </w:p>
        </w:tc>
        <w:tc>
          <w:tcPr>
            <w:tcW w:w="3744" w:type="dxa"/>
            <w:shd w:val="clear" w:color="auto" w:fill="auto"/>
          </w:tcPr>
          <w:p w14:paraId="0D436D93" w14:textId="77777777" w:rsidR="00F636FC" w:rsidRPr="00F636FC" w:rsidRDefault="00F636FC" w:rsidP="00F636FC">
            <w:pPr>
              <w:pStyle w:val="Sarakstarindkopa"/>
              <w:spacing w:after="120" w:line="240" w:lineRule="auto"/>
              <w:ind w:left="0"/>
              <w:contextualSpacing w:val="0"/>
              <w:rPr>
                <w:rFonts w:ascii="Times New Roman" w:hAnsi="Times New Roman" w:cs="Times New Roman"/>
                <w:b/>
                <w:sz w:val="24"/>
                <w:szCs w:val="24"/>
              </w:rPr>
            </w:pPr>
            <w:r w:rsidRPr="00F636FC">
              <w:rPr>
                <w:rFonts w:ascii="Times New Roman" w:hAnsi="Times New Roman" w:cs="Times New Roman"/>
                <w:b/>
                <w:sz w:val="24"/>
                <w:szCs w:val="24"/>
              </w:rPr>
              <w:t>Tēmas</w:t>
            </w:r>
          </w:p>
        </w:tc>
        <w:tc>
          <w:tcPr>
            <w:tcW w:w="2482" w:type="dxa"/>
            <w:shd w:val="clear" w:color="auto" w:fill="auto"/>
          </w:tcPr>
          <w:p w14:paraId="6ECF5D9E" w14:textId="77777777" w:rsidR="00F636FC" w:rsidRPr="00F636FC" w:rsidRDefault="00F636FC" w:rsidP="00F636FC">
            <w:pPr>
              <w:pStyle w:val="Sarakstarindkopa"/>
              <w:spacing w:after="120" w:line="240" w:lineRule="auto"/>
              <w:ind w:left="0"/>
              <w:contextualSpacing w:val="0"/>
              <w:rPr>
                <w:rFonts w:ascii="Times New Roman" w:hAnsi="Times New Roman" w:cs="Times New Roman"/>
                <w:b/>
                <w:sz w:val="24"/>
                <w:szCs w:val="24"/>
              </w:rPr>
            </w:pPr>
            <w:r w:rsidRPr="00F636FC">
              <w:rPr>
                <w:rFonts w:ascii="Times New Roman" w:hAnsi="Times New Roman" w:cs="Times New Roman"/>
                <w:b/>
                <w:sz w:val="24"/>
                <w:szCs w:val="24"/>
              </w:rPr>
              <w:t>Minimālais akadēmisko stundu skaits</w:t>
            </w:r>
          </w:p>
        </w:tc>
      </w:tr>
      <w:tr w:rsidR="00F636FC" w:rsidRPr="00F636FC" w14:paraId="54F5615A" w14:textId="77777777" w:rsidTr="00602166">
        <w:tc>
          <w:tcPr>
            <w:tcW w:w="9287" w:type="dxa"/>
            <w:gridSpan w:val="4"/>
            <w:shd w:val="clear" w:color="auto" w:fill="auto"/>
          </w:tcPr>
          <w:p w14:paraId="612B4B52" w14:textId="77777777" w:rsidR="00F636FC" w:rsidRPr="00F636FC" w:rsidRDefault="00F636FC" w:rsidP="00F636FC">
            <w:pPr>
              <w:pStyle w:val="Sarakstarindkopa"/>
              <w:spacing w:after="120" w:line="240" w:lineRule="auto"/>
              <w:ind w:left="0"/>
              <w:contextualSpacing w:val="0"/>
              <w:rPr>
                <w:rFonts w:ascii="Times New Roman" w:hAnsi="Times New Roman" w:cs="Times New Roman"/>
                <w:b/>
                <w:sz w:val="24"/>
                <w:szCs w:val="24"/>
              </w:rPr>
            </w:pPr>
            <w:r w:rsidRPr="00F636FC">
              <w:rPr>
                <w:rFonts w:ascii="Times New Roman" w:hAnsi="Times New Roman" w:cs="Times New Roman"/>
                <w:b/>
                <w:sz w:val="24"/>
                <w:szCs w:val="24"/>
              </w:rPr>
              <w:t>Kopīgais modulis</w:t>
            </w:r>
          </w:p>
        </w:tc>
      </w:tr>
      <w:tr w:rsidR="00F636FC" w:rsidRPr="00F636FC" w14:paraId="48027DA4" w14:textId="77777777" w:rsidTr="00602166">
        <w:tc>
          <w:tcPr>
            <w:tcW w:w="659" w:type="dxa"/>
            <w:shd w:val="clear" w:color="auto" w:fill="auto"/>
          </w:tcPr>
          <w:p w14:paraId="64A4AE5B" w14:textId="77777777" w:rsidR="00F636FC" w:rsidRPr="00F636FC" w:rsidRDefault="00F636FC" w:rsidP="00F636FC">
            <w:pPr>
              <w:pStyle w:val="Sarakstarindkopa"/>
              <w:numPr>
                <w:ilvl w:val="0"/>
                <w:numId w:val="36"/>
              </w:numPr>
              <w:spacing w:after="120" w:line="240" w:lineRule="auto"/>
              <w:ind w:left="0" w:firstLine="0"/>
              <w:contextualSpacing w:val="0"/>
              <w:rPr>
                <w:rFonts w:ascii="Times New Roman" w:hAnsi="Times New Roman" w:cs="Times New Roman"/>
                <w:sz w:val="24"/>
                <w:szCs w:val="24"/>
              </w:rPr>
            </w:pPr>
          </w:p>
        </w:tc>
        <w:tc>
          <w:tcPr>
            <w:tcW w:w="2402" w:type="dxa"/>
            <w:shd w:val="clear" w:color="auto" w:fill="auto"/>
          </w:tcPr>
          <w:p w14:paraId="1CC1D225"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Deinstitucionalizācijas procesa pamatprincipi</w:t>
            </w:r>
          </w:p>
        </w:tc>
        <w:tc>
          <w:tcPr>
            <w:tcW w:w="3744" w:type="dxa"/>
            <w:shd w:val="clear" w:color="auto" w:fill="auto"/>
          </w:tcPr>
          <w:p w14:paraId="52A79D4C" w14:textId="77777777" w:rsidR="00F636FC" w:rsidRPr="00F636FC" w:rsidRDefault="00F636FC" w:rsidP="00F636FC">
            <w:pPr>
              <w:pStyle w:val="Sarakstarindkopa"/>
              <w:spacing w:after="120" w:line="240" w:lineRule="auto"/>
              <w:ind w:left="60"/>
              <w:contextualSpacing w:val="0"/>
              <w:rPr>
                <w:rFonts w:ascii="Times New Roman" w:hAnsi="Times New Roman" w:cs="Times New Roman"/>
                <w:sz w:val="24"/>
                <w:szCs w:val="24"/>
              </w:rPr>
            </w:pPr>
            <w:r w:rsidRPr="00F636FC">
              <w:rPr>
                <w:rFonts w:ascii="Times New Roman" w:hAnsi="Times New Roman" w:cs="Times New Roman"/>
                <w:sz w:val="24"/>
                <w:szCs w:val="24"/>
              </w:rPr>
              <w:t>1.1.Tiesiskais regulējums</w:t>
            </w:r>
          </w:p>
          <w:p w14:paraId="034A4DDF" w14:textId="77777777" w:rsidR="00F636FC" w:rsidRPr="00F636FC" w:rsidRDefault="00F636FC" w:rsidP="00F636FC">
            <w:pPr>
              <w:pStyle w:val="Sarakstarindkopa"/>
              <w:spacing w:after="120" w:line="240" w:lineRule="auto"/>
              <w:ind w:left="60"/>
              <w:contextualSpacing w:val="0"/>
              <w:rPr>
                <w:rFonts w:ascii="Times New Roman" w:hAnsi="Times New Roman" w:cs="Times New Roman"/>
                <w:sz w:val="24"/>
                <w:szCs w:val="24"/>
              </w:rPr>
            </w:pPr>
            <w:r w:rsidRPr="00F636FC">
              <w:rPr>
                <w:rFonts w:ascii="Times New Roman" w:hAnsi="Times New Roman" w:cs="Times New Roman"/>
                <w:sz w:val="24"/>
                <w:szCs w:val="24"/>
              </w:rPr>
              <w:t>1.2.Personu ar GRT tiesības un to īstenošanas veidi</w:t>
            </w:r>
          </w:p>
          <w:p w14:paraId="549A0EA5" w14:textId="77777777" w:rsidR="00F636FC" w:rsidRPr="00F636FC" w:rsidRDefault="00F636FC" w:rsidP="00F636FC">
            <w:pPr>
              <w:pStyle w:val="Sarakstarindkopa"/>
              <w:spacing w:after="120" w:line="240" w:lineRule="auto"/>
              <w:ind w:left="60"/>
              <w:contextualSpacing w:val="0"/>
              <w:rPr>
                <w:rFonts w:ascii="Times New Roman" w:hAnsi="Times New Roman" w:cs="Times New Roman"/>
                <w:sz w:val="24"/>
                <w:szCs w:val="24"/>
              </w:rPr>
            </w:pPr>
            <w:r w:rsidRPr="00F636FC">
              <w:rPr>
                <w:rFonts w:ascii="Times New Roman" w:hAnsi="Times New Roman" w:cs="Times New Roman"/>
                <w:sz w:val="24"/>
                <w:szCs w:val="24"/>
              </w:rPr>
              <w:t>1.3.Latvijas un citu valstu piemēri personu ar GRT tiesību īstenošanā</w:t>
            </w:r>
          </w:p>
          <w:p w14:paraId="3530B759" w14:textId="77777777" w:rsidR="00F636FC" w:rsidRPr="00F636FC" w:rsidRDefault="00F636FC" w:rsidP="00F636FC">
            <w:pPr>
              <w:pStyle w:val="Sarakstarindkopa"/>
              <w:spacing w:after="120" w:line="240" w:lineRule="auto"/>
              <w:ind w:left="60"/>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1.4. datu aizsardzība </w:t>
            </w:r>
          </w:p>
          <w:p w14:paraId="28F68EED" w14:textId="77777777" w:rsidR="00F636FC" w:rsidRPr="00F636FC" w:rsidRDefault="00F636FC" w:rsidP="00F636FC">
            <w:pPr>
              <w:pStyle w:val="Sarakstarindkopa"/>
              <w:spacing w:after="120" w:line="240" w:lineRule="auto"/>
              <w:ind w:left="60"/>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1.5. u.c. </w:t>
            </w:r>
          </w:p>
        </w:tc>
        <w:tc>
          <w:tcPr>
            <w:tcW w:w="2482" w:type="dxa"/>
            <w:shd w:val="clear" w:color="auto" w:fill="auto"/>
          </w:tcPr>
          <w:p w14:paraId="15D5D96A" w14:textId="52AD0FE3"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ne mazāk kā 5</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 xml:space="preserve">h </w:t>
            </w:r>
          </w:p>
        </w:tc>
      </w:tr>
      <w:tr w:rsidR="00F636FC" w:rsidRPr="00F636FC" w14:paraId="02589323" w14:textId="77777777" w:rsidTr="00602166">
        <w:tc>
          <w:tcPr>
            <w:tcW w:w="659" w:type="dxa"/>
            <w:shd w:val="clear" w:color="auto" w:fill="auto"/>
          </w:tcPr>
          <w:p w14:paraId="229AD705" w14:textId="77777777" w:rsidR="00F636FC" w:rsidRPr="00F636FC" w:rsidRDefault="00F636FC" w:rsidP="00F636FC">
            <w:pPr>
              <w:pStyle w:val="Sarakstarindkopa"/>
              <w:numPr>
                <w:ilvl w:val="0"/>
                <w:numId w:val="36"/>
              </w:numPr>
              <w:spacing w:after="120" w:line="240" w:lineRule="auto"/>
              <w:ind w:left="0" w:firstLine="0"/>
              <w:contextualSpacing w:val="0"/>
              <w:rPr>
                <w:rFonts w:ascii="Times New Roman" w:hAnsi="Times New Roman" w:cs="Times New Roman"/>
                <w:sz w:val="24"/>
                <w:szCs w:val="24"/>
              </w:rPr>
            </w:pPr>
          </w:p>
        </w:tc>
        <w:tc>
          <w:tcPr>
            <w:tcW w:w="2402" w:type="dxa"/>
            <w:shd w:val="clear" w:color="auto" w:fill="auto"/>
          </w:tcPr>
          <w:p w14:paraId="29379783"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Saskarsmes prasmju attīstība</w:t>
            </w:r>
          </w:p>
        </w:tc>
        <w:tc>
          <w:tcPr>
            <w:tcW w:w="3744" w:type="dxa"/>
            <w:shd w:val="clear" w:color="auto" w:fill="auto"/>
          </w:tcPr>
          <w:p w14:paraId="54BC3503"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2.1. Personu ar psihiskām saslimšanām raksturojums un saskarsmes īpatnības</w:t>
            </w:r>
          </w:p>
          <w:p w14:paraId="534A8550"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2.2. Personu ar garīgu atpalicību raksturojums un saskarsmes īpatnības</w:t>
            </w:r>
          </w:p>
          <w:p w14:paraId="6CE92401"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2.3. Verbālās un neverbālās saziņas īpatnības ikdienas komunikācijā </w:t>
            </w:r>
          </w:p>
          <w:p w14:paraId="47172151"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2.4. Komunikācijas veidi, tai skaitā alternatīvie komunikācijas veidi un to praktiskā pielietošana</w:t>
            </w:r>
          </w:p>
          <w:p w14:paraId="5D65EA14"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2.5. personu ar GRT motivēšana</w:t>
            </w:r>
          </w:p>
          <w:p w14:paraId="29D1F050"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2.6. u.c.</w:t>
            </w:r>
          </w:p>
        </w:tc>
        <w:tc>
          <w:tcPr>
            <w:tcW w:w="2482" w:type="dxa"/>
            <w:shd w:val="clear" w:color="auto" w:fill="auto"/>
          </w:tcPr>
          <w:p w14:paraId="75FCE7E1" w14:textId="5447508E"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ne mazāk kā 20</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h</w:t>
            </w:r>
          </w:p>
        </w:tc>
      </w:tr>
      <w:tr w:rsidR="00F636FC" w:rsidRPr="00F636FC" w14:paraId="2409ACCB" w14:textId="77777777" w:rsidTr="00602166">
        <w:tc>
          <w:tcPr>
            <w:tcW w:w="659" w:type="dxa"/>
            <w:shd w:val="clear" w:color="auto" w:fill="auto"/>
          </w:tcPr>
          <w:p w14:paraId="1B114483" w14:textId="77777777" w:rsidR="00F636FC" w:rsidRPr="00F636FC" w:rsidRDefault="00F636FC" w:rsidP="00F636FC">
            <w:pPr>
              <w:pStyle w:val="Sarakstarindkopa"/>
              <w:numPr>
                <w:ilvl w:val="0"/>
                <w:numId w:val="36"/>
              </w:numPr>
              <w:spacing w:after="120" w:line="240" w:lineRule="auto"/>
              <w:ind w:left="0" w:firstLine="0"/>
              <w:contextualSpacing w:val="0"/>
              <w:rPr>
                <w:rFonts w:ascii="Times New Roman" w:hAnsi="Times New Roman" w:cs="Times New Roman"/>
                <w:sz w:val="24"/>
                <w:szCs w:val="24"/>
              </w:rPr>
            </w:pPr>
          </w:p>
        </w:tc>
        <w:tc>
          <w:tcPr>
            <w:tcW w:w="2402" w:type="dxa"/>
            <w:shd w:val="clear" w:color="auto" w:fill="auto"/>
          </w:tcPr>
          <w:p w14:paraId="007E222C"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Starpprofesionālā sadarbība </w:t>
            </w:r>
          </w:p>
        </w:tc>
        <w:tc>
          <w:tcPr>
            <w:tcW w:w="3744" w:type="dxa"/>
            <w:shd w:val="clear" w:color="auto" w:fill="auto"/>
          </w:tcPr>
          <w:p w14:paraId="01F1AE88" w14:textId="77777777" w:rsidR="00F636FC" w:rsidRPr="00F636FC" w:rsidRDefault="00F636FC" w:rsidP="00F636FC">
            <w:pPr>
              <w:spacing w:after="120" w:line="240" w:lineRule="auto"/>
              <w:rPr>
                <w:rFonts w:ascii="Times New Roman" w:hAnsi="Times New Roman" w:cs="Times New Roman"/>
                <w:sz w:val="24"/>
                <w:szCs w:val="24"/>
              </w:rPr>
            </w:pPr>
            <w:r w:rsidRPr="00F636FC">
              <w:rPr>
                <w:rFonts w:ascii="Times New Roman" w:eastAsia="Calibri" w:hAnsi="Times New Roman" w:cs="Times New Roman"/>
                <w:sz w:val="24"/>
                <w:szCs w:val="24"/>
              </w:rPr>
              <w:t>Profesionāļu atbildības (t.sk.</w:t>
            </w:r>
            <w:r w:rsidRPr="00F636FC">
              <w:rPr>
                <w:rFonts w:ascii="Times New Roman" w:hAnsi="Times New Roman" w:cs="Times New Roman"/>
                <w:sz w:val="24"/>
                <w:szCs w:val="24"/>
              </w:rPr>
              <w:t xml:space="preserve"> ētiku, konfidencialitāti un interešu konfliktu novēršanu</w:t>
            </w:r>
            <w:r w:rsidRPr="00F636FC">
              <w:rPr>
                <w:rFonts w:ascii="Times New Roman" w:eastAsia="Calibri" w:hAnsi="Times New Roman" w:cs="Times New Roman"/>
                <w:sz w:val="24"/>
                <w:szCs w:val="24"/>
              </w:rPr>
              <w:t xml:space="preserve">) un darbu sadalījums, tai skaitā savstarpējās sadarbības organizēšana un darbs komandā, kā arī profesionālā </w:t>
            </w:r>
            <w:r w:rsidRPr="00F636FC">
              <w:rPr>
                <w:rFonts w:ascii="Times New Roman" w:hAnsi="Times New Roman" w:cs="Times New Roman"/>
                <w:sz w:val="24"/>
                <w:szCs w:val="24"/>
              </w:rPr>
              <w:t>izdegšana</w:t>
            </w:r>
          </w:p>
        </w:tc>
        <w:tc>
          <w:tcPr>
            <w:tcW w:w="2482" w:type="dxa"/>
            <w:shd w:val="clear" w:color="auto" w:fill="auto"/>
          </w:tcPr>
          <w:p w14:paraId="2FC141E5" w14:textId="4EEA304D"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ne mazāk kā 5</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h</w:t>
            </w:r>
          </w:p>
        </w:tc>
      </w:tr>
      <w:tr w:rsidR="00F636FC" w:rsidRPr="00F636FC" w14:paraId="1D51C186" w14:textId="77777777" w:rsidTr="00602166">
        <w:tc>
          <w:tcPr>
            <w:tcW w:w="659" w:type="dxa"/>
            <w:shd w:val="clear" w:color="auto" w:fill="auto"/>
          </w:tcPr>
          <w:p w14:paraId="2236B496"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4</w:t>
            </w:r>
          </w:p>
        </w:tc>
        <w:tc>
          <w:tcPr>
            <w:tcW w:w="2402" w:type="dxa"/>
            <w:shd w:val="clear" w:color="auto" w:fill="auto"/>
          </w:tcPr>
          <w:p w14:paraId="27BAAF9B"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Seksualitāte un reproduktīvā veselība un tiesības</w:t>
            </w:r>
          </w:p>
        </w:tc>
        <w:tc>
          <w:tcPr>
            <w:tcW w:w="3744" w:type="dxa"/>
            <w:shd w:val="clear" w:color="auto" w:fill="auto"/>
          </w:tcPr>
          <w:p w14:paraId="3FEF859E"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4.1.Seksuālās un reproduktīvās tiesības</w:t>
            </w:r>
          </w:p>
          <w:p w14:paraId="62E5D859"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4.2.Seksualitāte</w:t>
            </w:r>
          </w:p>
          <w:p w14:paraId="26A9BDAD"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4.3.Seksuālā orientācija</w:t>
            </w:r>
          </w:p>
          <w:p w14:paraId="58DE6C8A"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4.4.Seksuāli transmisīvās slimības</w:t>
            </w:r>
          </w:p>
          <w:p w14:paraId="67F6CA0A"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 xml:space="preserve">4.5. u.c. </w:t>
            </w:r>
          </w:p>
        </w:tc>
        <w:tc>
          <w:tcPr>
            <w:tcW w:w="2482" w:type="dxa"/>
            <w:shd w:val="clear" w:color="auto" w:fill="auto"/>
          </w:tcPr>
          <w:p w14:paraId="01B1CEA8" w14:textId="094BD63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ne mazāk kā 10</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h</w:t>
            </w:r>
          </w:p>
        </w:tc>
      </w:tr>
      <w:tr w:rsidR="00F636FC" w:rsidRPr="00F636FC" w14:paraId="5507EFA5" w14:textId="77777777" w:rsidTr="00602166">
        <w:tc>
          <w:tcPr>
            <w:tcW w:w="659" w:type="dxa"/>
            <w:shd w:val="clear" w:color="auto" w:fill="auto"/>
          </w:tcPr>
          <w:p w14:paraId="6479F7E3"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5</w:t>
            </w:r>
          </w:p>
        </w:tc>
        <w:tc>
          <w:tcPr>
            <w:tcW w:w="2402" w:type="dxa"/>
            <w:shd w:val="clear" w:color="auto" w:fill="auto"/>
          </w:tcPr>
          <w:p w14:paraId="3627B7E0"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Drošība un tiesību aizsardzība</w:t>
            </w:r>
          </w:p>
        </w:tc>
        <w:tc>
          <w:tcPr>
            <w:tcW w:w="3744" w:type="dxa"/>
            <w:shd w:val="clear" w:color="auto" w:fill="auto"/>
          </w:tcPr>
          <w:p w14:paraId="2CC5E23F"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5.1. Personas ar GRT tiesības un pienākumi (ikdienas dzīvē)</w:t>
            </w:r>
          </w:p>
          <w:p w14:paraId="3E854482"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5.2. Kā atpazīt negodprātīgu rīcību vai vardarbību</w:t>
            </w:r>
          </w:p>
          <w:p w14:paraId="19A1FCDB"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5.3. Kā rīkoties bīstamās situācijās (piemēram, palīdzības izsaukšana u.c.)</w:t>
            </w:r>
          </w:p>
          <w:p w14:paraId="766E17ED"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5.4. Mantas un naudas drošība</w:t>
            </w:r>
          </w:p>
          <w:p w14:paraId="7898CC0A"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5.5. Drošība internetā</w:t>
            </w:r>
          </w:p>
          <w:p w14:paraId="18D8A009"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5.6. u.c.</w:t>
            </w:r>
          </w:p>
        </w:tc>
        <w:tc>
          <w:tcPr>
            <w:tcW w:w="2482" w:type="dxa"/>
            <w:shd w:val="clear" w:color="auto" w:fill="auto"/>
          </w:tcPr>
          <w:p w14:paraId="49802B3F" w14:textId="3D65A019"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ne mazāk kā 20</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h</w:t>
            </w:r>
          </w:p>
        </w:tc>
      </w:tr>
      <w:tr w:rsidR="00F636FC" w:rsidRPr="00F636FC" w14:paraId="7C1A0F46" w14:textId="77777777" w:rsidTr="00602166">
        <w:tc>
          <w:tcPr>
            <w:tcW w:w="9287" w:type="dxa"/>
            <w:gridSpan w:val="4"/>
            <w:shd w:val="clear" w:color="auto" w:fill="auto"/>
          </w:tcPr>
          <w:p w14:paraId="2C816C07" w14:textId="77777777" w:rsidR="00F636FC" w:rsidRPr="00F636FC" w:rsidRDefault="00F636FC" w:rsidP="00F636FC">
            <w:pPr>
              <w:pStyle w:val="Sarakstarindkopa"/>
              <w:spacing w:after="120" w:line="240" w:lineRule="auto"/>
              <w:ind w:left="0"/>
              <w:contextualSpacing w:val="0"/>
              <w:rPr>
                <w:rFonts w:ascii="Times New Roman" w:hAnsi="Times New Roman" w:cs="Times New Roman"/>
                <w:b/>
                <w:sz w:val="24"/>
                <w:szCs w:val="24"/>
              </w:rPr>
            </w:pPr>
            <w:r w:rsidRPr="00F636FC">
              <w:rPr>
                <w:rFonts w:ascii="Times New Roman" w:hAnsi="Times New Roman" w:cs="Times New Roman"/>
                <w:b/>
                <w:sz w:val="24"/>
                <w:szCs w:val="24"/>
              </w:rPr>
              <w:t>Specializētie moduļi</w:t>
            </w:r>
            <w:r w:rsidRPr="00F636FC">
              <w:rPr>
                <w:rStyle w:val="Vresatsauce"/>
                <w:rFonts w:ascii="Times New Roman" w:hAnsi="Times New Roman" w:cs="Times New Roman"/>
                <w:b/>
                <w:sz w:val="24"/>
                <w:szCs w:val="24"/>
              </w:rPr>
              <w:footnoteReference w:id="1"/>
            </w:r>
          </w:p>
        </w:tc>
      </w:tr>
      <w:tr w:rsidR="00F636FC" w:rsidRPr="00F636FC" w14:paraId="4E55241C" w14:textId="77777777" w:rsidTr="00602166">
        <w:tc>
          <w:tcPr>
            <w:tcW w:w="659" w:type="dxa"/>
            <w:shd w:val="clear" w:color="auto" w:fill="auto"/>
          </w:tcPr>
          <w:p w14:paraId="0EC8DC41"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lastRenderedPageBreak/>
              <w:t>6.</w:t>
            </w:r>
          </w:p>
        </w:tc>
        <w:tc>
          <w:tcPr>
            <w:tcW w:w="2402" w:type="dxa"/>
            <w:shd w:val="clear" w:color="auto" w:fill="auto"/>
          </w:tcPr>
          <w:p w14:paraId="4AB66BC6"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Atbalsta sniegšana patstāvīgas dzīves prasmju apgūšanai (par metodēm, ar kurām par norādītajām jomām var atbalstīt/iemācīt personas ar GRT)</w:t>
            </w:r>
          </w:p>
          <w:p w14:paraId="535173AE"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p>
          <w:p w14:paraId="76CFB180"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p>
          <w:p w14:paraId="18D96CCB"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p>
          <w:p w14:paraId="682F73CC"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p>
          <w:p w14:paraId="7F7A40F5"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p>
          <w:p w14:paraId="101AEDC5"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p>
          <w:p w14:paraId="74204E4B"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p>
          <w:p w14:paraId="16688823"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p>
          <w:p w14:paraId="433B67FA"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p>
          <w:p w14:paraId="5910C3AD"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p>
        </w:tc>
        <w:tc>
          <w:tcPr>
            <w:tcW w:w="3744" w:type="dxa"/>
            <w:shd w:val="clear" w:color="auto" w:fill="auto"/>
          </w:tcPr>
          <w:p w14:paraId="732FA63A"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6.1. Interešu pārstāvniecība dažādās iestādēs</w:t>
            </w:r>
          </w:p>
          <w:p w14:paraId="0608EBDF"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6. 2. Finanšu plānošana un izlietošana</w:t>
            </w:r>
          </w:p>
          <w:p w14:paraId="1F4D7399"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6. 3. Ēst gatavošana</w:t>
            </w:r>
          </w:p>
          <w:p w14:paraId="79588726"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6. 4. Uzkopšana</w:t>
            </w:r>
          </w:p>
          <w:p w14:paraId="5445C373"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6. 5. Iesaistīšanās sabiedriskās aktivitātēs, brīvā laika organizēšana</w:t>
            </w:r>
          </w:p>
          <w:p w14:paraId="1367FC5B"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6. 6. Nodarbinātība un izglītība</w:t>
            </w:r>
          </w:p>
          <w:p w14:paraId="1748DFEA"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6.7. Veselības aprūpe – pirmā palīdzība</w:t>
            </w:r>
          </w:p>
          <w:p w14:paraId="61C2D7F7"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6. 8. Seksualitāte un reproduktīvā veselība</w:t>
            </w:r>
          </w:p>
          <w:p w14:paraId="0AE41545"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6. 9. Personīgā higiēna un drošība</w:t>
            </w:r>
          </w:p>
          <w:p w14:paraId="6B10B92D"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6. 10. u.c</w:t>
            </w:r>
          </w:p>
        </w:tc>
        <w:tc>
          <w:tcPr>
            <w:tcW w:w="2482" w:type="dxa"/>
            <w:shd w:val="clear" w:color="auto" w:fill="auto"/>
          </w:tcPr>
          <w:p w14:paraId="7B9CEDA1" w14:textId="7EBBA7AF"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ne mazāk kā 20</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h</w:t>
            </w:r>
          </w:p>
        </w:tc>
      </w:tr>
      <w:tr w:rsidR="00F636FC" w:rsidRPr="00F636FC" w14:paraId="0438D38E" w14:textId="77777777" w:rsidTr="00602166">
        <w:tc>
          <w:tcPr>
            <w:tcW w:w="6805" w:type="dxa"/>
            <w:gridSpan w:val="3"/>
            <w:shd w:val="clear" w:color="auto" w:fill="auto"/>
          </w:tcPr>
          <w:p w14:paraId="3357324B" w14:textId="77777777"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b/>
                <w:sz w:val="24"/>
                <w:szCs w:val="24"/>
              </w:rPr>
              <w:t xml:space="preserve">Praktiskais modulis – </w:t>
            </w:r>
            <w:r w:rsidRPr="00F636FC">
              <w:rPr>
                <w:rFonts w:ascii="Times New Roman" w:hAnsi="Times New Roman" w:cs="Times New Roman"/>
                <w:sz w:val="24"/>
                <w:szCs w:val="24"/>
              </w:rPr>
              <w:t>ietver esošo sabiedrībā balstītu sociālo pakalpojumu sniedzēju vietu apmeklējumu un iepazīšanos ar faktisko to darbību, tai skaitā praktisko iemaņu un prasmju apgūšanu darbā ar personām ar GRT (piemēram, personu motivēšana, ergonomikas pamati, ētika un konfidencialitāte utt.).</w:t>
            </w:r>
          </w:p>
        </w:tc>
        <w:tc>
          <w:tcPr>
            <w:tcW w:w="2482" w:type="dxa"/>
            <w:shd w:val="clear" w:color="auto" w:fill="auto"/>
          </w:tcPr>
          <w:p w14:paraId="33314535" w14:textId="6ED66BC8" w:rsidR="00F636FC" w:rsidRPr="00F636FC" w:rsidRDefault="00F636FC" w:rsidP="00F636FC">
            <w:pPr>
              <w:pStyle w:val="Sarakstarindkopa"/>
              <w:spacing w:after="120" w:line="240" w:lineRule="auto"/>
              <w:ind w:left="0"/>
              <w:contextualSpacing w:val="0"/>
              <w:rPr>
                <w:rFonts w:ascii="Times New Roman" w:hAnsi="Times New Roman" w:cs="Times New Roman"/>
                <w:sz w:val="24"/>
                <w:szCs w:val="24"/>
              </w:rPr>
            </w:pPr>
            <w:r w:rsidRPr="00F636FC">
              <w:rPr>
                <w:rFonts w:ascii="Times New Roman" w:hAnsi="Times New Roman" w:cs="Times New Roman"/>
                <w:sz w:val="24"/>
                <w:szCs w:val="24"/>
              </w:rPr>
              <w:t>ne mazāk kā 20</w:t>
            </w:r>
            <w:r w:rsidR="00CD08C0">
              <w:rPr>
                <w:rFonts w:ascii="Times New Roman" w:hAnsi="Times New Roman" w:cs="Times New Roman"/>
                <w:sz w:val="24"/>
                <w:szCs w:val="24"/>
              </w:rPr>
              <w:t xml:space="preserve"> </w:t>
            </w:r>
            <w:r w:rsidRPr="00F636FC">
              <w:rPr>
                <w:rFonts w:ascii="Times New Roman" w:hAnsi="Times New Roman" w:cs="Times New Roman"/>
                <w:sz w:val="24"/>
                <w:szCs w:val="24"/>
              </w:rPr>
              <w:t>h</w:t>
            </w:r>
          </w:p>
        </w:tc>
      </w:tr>
    </w:tbl>
    <w:p w14:paraId="1318A523" w14:textId="77777777" w:rsidR="00F636FC" w:rsidRPr="00F636FC" w:rsidRDefault="00F636FC" w:rsidP="00F636FC">
      <w:pPr>
        <w:spacing w:after="120" w:line="240" w:lineRule="auto"/>
        <w:ind w:left="709"/>
        <w:jc w:val="both"/>
        <w:rPr>
          <w:rFonts w:ascii="Times New Roman" w:eastAsia="Calibri" w:hAnsi="Times New Roman" w:cs="Times New Roman"/>
          <w:sz w:val="24"/>
          <w:szCs w:val="24"/>
        </w:rPr>
      </w:pPr>
      <w:r w:rsidRPr="00F636FC">
        <w:rPr>
          <w:rFonts w:ascii="Times New Roman" w:hAnsi="Times New Roman" w:cs="Times New Roman"/>
          <w:sz w:val="24"/>
          <w:szCs w:val="24"/>
        </w:rPr>
        <w:t xml:space="preserve"> </w:t>
      </w:r>
    </w:p>
    <w:p w14:paraId="3383EC2F" w14:textId="6F481E77" w:rsidR="00F636FC" w:rsidRPr="00CD08C0" w:rsidRDefault="00F636FC" w:rsidP="00CD08C0">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F636FC">
        <w:rPr>
          <w:rFonts w:ascii="Times New Roman" w:hAnsi="Times New Roman" w:cs="Times New Roman"/>
          <w:sz w:val="24"/>
          <w:szCs w:val="24"/>
        </w:rPr>
        <w:t xml:space="preserve">Apmācību programmas izstrādē jābalstās uz šādiem avotiem: pēdējos piecpadsmit gados veiktajiem pētījumiem un izdoto literatūru attiecīgajā jomā; Latvijas un Eiropas Savienības institūciju izdotiem tiesību aktiem; Labklājības ministrijas aktuāliem un ar konkrēto jomu saistītiem plānošanas dokumentiem, starptautisku un citu Eiropas Savienības dalībvalstu konkrētās jomas labās prakses piemēru un inovatīvu iniciatīvu analīzi (analizējot arī to pārnešanas iespējamību un pielāgošanu Latvijas situācijai); Latvijas un pasaules aktualitāšu analīzi </w:t>
      </w:r>
      <w:r w:rsidRPr="00CD08C0">
        <w:rPr>
          <w:rFonts w:ascii="Times New Roman" w:hAnsi="Times New Roman" w:cs="Times New Roman"/>
          <w:sz w:val="24"/>
          <w:szCs w:val="24"/>
        </w:rPr>
        <w:t xml:space="preserve">attiecīgajā jomā. </w:t>
      </w:r>
    </w:p>
    <w:p w14:paraId="670890F4" w14:textId="79639071" w:rsidR="00F636FC" w:rsidRPr="00F636FC" w:rsidRDefault="00F636FC" w:rsidP="006D01A4">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F636FC">
        <w:rPr>
          <w:rFonts w:ascii="Times New Roman" w:hAnsi="Times New Roman" w:cs="Times New Roman"/>
          <w:sz w:val="24"/>
          <w:szCs w:val="24"/>
        </w:rPr>
        <w:t>Kopumā programmā ne mazāk kā 50% ir jābūt praktiskām apmācībām.</w:t>
      </w:r>
    </w:p>
    <w:p w14:paraId="4EADBE3A" w14:textId="7BA9446B" w:rsidR="00F636FC" w:rsidRPr="00F636FC" w:rsidRDefault="00F636FC" w:rsidP="006D01A4">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F636FC">
        <w:rPr>
          <w:rFonts w:ascii="Times New Roman" w:hAnsi="Times New Roman" w:cs="Times New Roman"/>
          <w:sz w:val="24"/>
          <w:szCs w:val="24"/>
        </w:rPr>
        <w:t>Apmācību programmai jāiekļauj p</w:t>
      </w:r>
      <w:r w:rsidRPr="006D01A4">
        <w:rPr>
          <w:rFonts w:ascii="Times New Roman" w:hAnsi="Times New Roman" w:cs="Times New Roman"/>
          <w:sz w:val="24"/>
          <w:szCs w:val="24"/>
        </w:rPr>
        <w:t xml:space="preserve">rogrammas nosaukums, mērķis, mērķa grupa (mērķauditorija), uzdevumi, apjoms stundās, programmas īsa anotācija, plānotie rezultāti, programmas tematiskais un laika plānojums, izmantojamās metodes, tēmas </w:t>
      </w:r>
      <w:r w:rsidRPr="006D01A4">
        <w:rPr>
          <w:rFonts w:ascii="Times New Roman" w:hAnsi="Times New Roman" w:cs="Times New Roman"/>
          <w:sz w:val="24"/>
          <w:szCs w:val="24"/>
        </w:rPr>
        <w:lastRenderedPageBreak/>
        <w:t xml:space="preserve">ar apakštēmām, veicamie uzdevumi un sasniedzamie rezultāti katrā no tēmām un nepieciešamie mācību līdzekļi. </w:t>
      </w:r>
    </w:p>
    <w:p w14:paraId="7A678BE3" w14:textId="72DDC828" w:rsidR="00F636FC" w:rsidRPr="00F636FC" w:rsidRDefault="00F636FC" w:rsidP="006D01A4">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F636FC">
        <w:rPr>
          <w:rFonts w:ascii="Times New Roman" w:hAnsi="Times New Roman" w:cs="Times New Roman"/>
          <w:sz w:val="24"/>
          <w:szCs w:val="24"/>
        </w:rPr>
        <w:t>Tiek sagatavots metodisks materiāls pasniedzējiem - programmas īstenošanai (un apmācību organizēšanai).</w:t>
      </w:r>
    </w:p>
    <w:p w14:paraId="716E74FB" w14:textId="1899372C" w:rsidR="00F636FC" w:rsidRPr="00F636FC" w:rsidRDefault="00F636FC" w:rsidP="006D01A4">
      <w:pPr>
        <w:keepNext/>
        <w:numPr>
          <w:ilvl w:val="1"/>
          <w:numId w:val="35"/>
        </w:numPr>
        <w:tabs>
          <w:tab w:val="left" w:pos="426"/>
        </w:tabs>
        <w:overflowPunct w:val="0"/>
        <w:autoSpaceDE w:val="0"/>
        <w:autoSpaceDN w:val="0"/>
        <w:adjustRightInd w:val="0"/>
        <w:spacing w:after="120" w:line="240" w:lineRule="auto"/>
        <w:ind w:left="1134" w:hanging="425"/>
        <w:jc w:val="both"/>
        <w:textAlignment w:val="baseline"/>
        <w:outlineLvl w:val="0"/>
        <w:rPr>
          <w:rFonts w:ascii="Times New Roman" w:hAnsi="Times New Roman" w:cs="Times New Roman"/>
          <w:sz w:val="24"/>
          <w:szCs w:val="24"/>
        </w:rPr>
      </w:pPr>
      <w:r w:rsidRPr="00F636FC">
        <w:rPr>
          <w:rFonts w:ascii="Times New Roman" w:hAnsi="Times New Roman" w:cs="Times New Roman"/>
          <w:sz w:val="24"/>
          <w:szCs w:val="24"/>
        </w:rPr>
        <w:t>Tiek sagatavoti visi programmas īstenošanai nepieciešamie mācību materiāli (vadlīnijas vai rokasgrāmata, kas iekļauj arī labās prakses piemērus no citām valstīm un, piemēram, papildu literatūras sarakst</w:t>
      </w:r>
      <w:r w:rsidR="00580494">
        <w:rPr>
          <w:rFonts w:ascii="Times New Roman" w:hAnsi="Times New Roman" w:cs="Times New Roman"/>
          <w:sz w:val="24"/>
          <w:szCs w:val="24"/>
        </w:rPr>
        <w:t>s</w:t>
      </w:r>
      <w:r w:rsidRPr="00F636FC">
        <w:rPr>
          <w:rFonts w:ascii="Times New Roman" w:hAnsi="Times New Roman" w:cs="Times New Roman"/>
          <w:sz w:val="24"/>
          <w:szCs w:val="24"/>
        </w:rPr>
        <w:t>, uzskates līdzekļi, digitālie mācību līdzekļi</w:t>
      </w:r>
      <w:r w:rsidR="00580494">
        <w:rPr>
          <w:rFonts w:ascii="Times New Roman" w:hAnsi="Times New Roman" w:cs="Times New Roman"/>
          <w:sz w:val="24"/>
          <w:szCs w:val="24"/>
        </w:rPr>
        <w:t xml:space="preserve">, </w:t>
      </w:r>
      <w:r w:rsidRPr="00F636FC">
        <w:rPr>
          <w:rFonts w:ascii="Times New Roman" w:hAnsi="Times New Roman" w:cs="Times New Roman"/>
          <w:sz w:val="24"/>
          <w:szCs w:val="24"/>
        </w:rPr>
        <w:t>izdales materiāli</w:t>
      </w:r>
      <w:r w:rsidR="00580494">
        <w:rPr>
          <w:rFonts w:ascii="Times New Roman" w:hAnsi="Times New Roman" w:cs="Times New Roman"/>
          <w:sz w:val="24"/>
          <w:szCs w:val="24"/>
        </w:rPr>
        <w:t xml:space="preserve"> vai citi mācību materiāli</w:t>
      </w:r>
      <w:r w:rsidRPr="00F636FC">
        <w:rPr>
          <w:rFonts w:ascii="Times New Roman" w:hAnsi="Times New Roman" w:cs="Times New Roman"/>
          <w:sz w:val="24"/>
          <w:szCs w:val="24"/>
        </w:rPr>
        <w:t>).</w:t>
      </w:r>
    </w:p>
    <w:p w14:paraId="358AA237" w14:textId="2FED8DE6" w:rsidR="00F636FC" w:rsidRPr="00F636FC" w:rsidRDefault="00F636FC" w:rsidP="00580494">
      <w:pPr>
        <w:pStyle w:val="Sarakstarindkopa"/>
        <w:numPr>
          <w:ilvl w:val="1"/>
          <w:numId w:val="35"/>
        </w:numPr>
        <w:spacing w:after="120" w:line="240" w:lineRule="auto"/>
        <w:ind w:left="1134" w:hanging="425"/>
        <w:contextualSpacing w:val="0"/>
        <w:jc w:val="both"/>
        <w:rPr>
          <w:rFonts w:ascii="Times New Roman" w:hAnsi="Times New Roman" w:cs="Times New Roman"/>
          <w:sz w:val="24"/>
          <w:szCs w:val="24"/>
        </w:rPr>
      </w:pPr>
      <w:r w:rsidRPr="00F636FC">
        <w:rPr>
          <w:rFonts w:ascii="Times New Roman" w:hAnsi="Times New Roman" w:cs="Times New Roman"/>
          <w:sz w:val="24"/>
          <w:szCs w:val="24"/>
        </w:rPr>
        <w:t xml:space="preserve">Pēc </w:t>
      </w:r>
      <w:r w:rsidR="00580494">
        <w:rPr>
          <w:rFonts w:ascii="Times New Roman" w:hAnsi="Times New Roman" w:cs="Times New Roman"/>
          <w:sz w:val="24"/>
          <w:szCs w:val="24"/>
        </w:rPr>
        <w:t>p</w:t>
      </w:r>
      <w:r w:rsidRPr="00F636FC">
        <w:rPr>
          <w:rFonts w:ascii="Times New Roman" w:hAnsi="Times New Roman" w:cs="Times New Roman"/>
          <w:sz w:val="24"/>
          <w:szCs w:val="24"/>
        </w:rPr>
        <w:t>asūtītāja pieprasījuma tiek organizētas apmācības pasniedzējiem - programmas īstenošanai par izstrādāto materiālu piemērošanu un apmācību organizēšanu. Apmācības tiks organizētas vienai grupai, indikatīvi 30 cilvēku sastāvā.</w:t>
      </w:r>
    </w:p>
    <w:p w14:paraId="560047F5" w14:textId="77777777" w:rsidR="00F636FC" w:rsidRPr="00F636FC" w:rsidRDefault="00F636FC" w:rsidP="00C2042C">
      <w:pPr>
        <w:pStyle w:val="Sarakstarindkopa"/>
        <w:numPr>
          <w:ilvl w:val="0"/>
          <w:numId w:val="35"/>
        </w:numPr>
        <w:spacing w:after="120" w:line="240" w:lineRule="auto"/>
        <w:ind w:left="284" w:hanging="284"/>
        <w:contextualSpacing w:val="0"/>
        <w:jc w:val="both"/>
        <w:rPr>
          <w:rFonts w:ascii="Times New Roman" w:hAnsi="Times New Roman" w:cs="Times New Roman"/>
          <w:b/>
          <w:sz w:val="24"/>
          <w:szCs w:val="24"/>
        </w:rPr>
      </w:pPr>
      <w:r w:rsidRPr="00F636FC">
        <w:rPr>
          <w:rFonts w:ascii="Times New Roman" w:hAnsi="Times New Roman" w:cs="Times New Roman"/>
          <w:b/>
          <w:sz w:val="24"/>
          <w:szCs w:val="24"/>
        </w:rPr>
        <w:t>Darba izpildes posmi un nodevumi:</w:t>
      </w:r>
    </w:p>
    <w:p w14:paraId="63D57012" w14:textId="4B519336" w:rsidR="00F636FC" w:rsidRPr="00F636FC"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F636FC">
        <w:rPr>
          <w:rFonts w:ascii="Times New Roman" w:hAnsi="Times New Roman" w:cs="Times New Roman"/>
          <w:sz w:val="24"/>
          <w:szCs w:val="24"/>
        </w:rPr>
        <w:t xml:space="preserve">Pretendentam jānodrošina tikšanās ar </w:t>
      </w:r>
      <w:r w:rsidR="00A67869">
        <w:rPr>
          <w:rFonts w:ascii="Times New Roman" w:hAnsi="Times New Roman" w:cs="Times New Roman"/>
          <w:sz w:val="24"/>
          <w:szCs w:val="24"/>
        </w:rPr>
        <w:t>p</w:t>
      </w:r>
      <w:r w:rsidRPr="00F636FC">
        <w:rPr>
          <w:rFonts w:ascii="Times New Roman" w:hAnsi="Times New Roman" w:cs="Times New Roman"/>
          <w:sz w:val="24"/>
          <w:szCs w:val="24"/>
        </w:rPr>
        <w:t>asūtītāj</w:t>
      </w:r>
      <w:r w:rsidR="00A67869">
        <w:rPr>
          <w:rFonts w:ascii="Times New Roman" w:hAnsi="Times New Roman" w:cs="Times New Roman"/>
          <w:sz w:val="24"/>
          <w:szCs w:val="24"/>
        </w:rPr>
        <w:t>u</w:t>
      </w:r>
      <w:r w:rsidRPr="00F636FC">
        <w:rPr>
          <w:rFonts w:ascii="Times New Roman" w:hAnsi="Times New Roman" w:cs="Times New Roman"/>
          <w:sz w:val="24"/>
          <w:szCs w:val="24"/>
        </w:rPr>
        <w:t xml:space="preserve"> pārstāvjiem par darbu izpildes procesu – ne vēlāk kā 5 (piecu) darba dienu laikā no </w:t>
      </w:r>
      <w:r w:rsidR="00A67869">
        <w:rPr>
          <w:rFonts w:ascii="Times New Roman" w:hAnsi="Times New Roman" w:cs="Times New Roman"/>
          <w:sz w:val="24"/>
          <w:szCs w:val="24"/>
        </w:rPr>
        <w:t>iepirkuma l</w:t>
      </w:r>
      <w:r w:rsidRPr="00F636FC">
        <w:rPr>
          <w:rFonts w:ascii="Times New Roman" w:hAnsi="Times New Roman" w:cs="Times New Roman"/>
          <w:sz w:val="24"/>
          <w:szCs w:val="24"/>
        </w:rPr>
        <w:t>īguma noslēgšanas</w:t>
      </w:r>
      <w:r w:rsidR="00A67869">
        <w:rPr>
          <w:rFonts w:ascii="Times New Roman" w:hAnsi="Times New Roman" w:cs="Times New Roman"/>
          <w:sz w:val="24"/>
          <w:szCs w:val="24"/>
        </w:rPr>
        <w:t xml:space="preserve"> dienas</w:t>
      </w:r>
      <w:r w:rsidRPr="00F636FC">
        <w:rPr>
          <w:rFonts w:ascii="Times New Roman" w:hAnsi="Times New Roman" w:cs="Times New Roman"/>
          <w:sz w:val="24"/>
          <w:szCs w:val="24"/>
        </w:rPr>
        <w:t>.</w:t>
      </w:r>
    </w:p>
    <w:p w14:paraId="0E395C3A" w14:textId="3A2964F8" w:rsidR="00F636FC" w:rsidRPr="00F636FC"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F636FC">
        <w:rPr>
          <w:rFonts w:ascii="Times New Roman" w:hAnsi="Times New Roman" w:cs="Times New Roman"/>
          <w:sz w:val="24"/>
          <w:szCs w:val="24"/>
        </w:rPr>
        <w:t xml:space="preserve">Apmācību programmas un materiālu uzmetuma sagatavošana un iesniegšana </w:t>
      </w:r>
      <w:r w:rsidR="00D07CCB">
        <w:rPr>
          <w:rFonts w:ascii="Times New Roman" w:hAnsi="Times New Roman" w:cs="Times New Roman"/>
          <w:sz w:val="24"/>
          <w:szCs w:val="24"/>
        </w:rPr>
        <w:t>p</w:t>
      </w:r>
      <w:r w:rsidRPr="00F636FC">
        <w:rPr>
          <w:rFonts w:ascii="Times New Roman" w:hAnsi="Times New Roman" w:cs="Times New Roman"/>
          <w:sz w:val="24"/>
          <w:szCs w:val="24"/>
        </w:rPr>
        <w:t>asūtītāj</w:t>
      </w:r>
      <w:r w:rsidR="00D07CCB">
        <w:rPr>
          <w:rFonts w:ascii="Times New Roman" w:hAnsi="Times New Roman" w:cs="Times New Roman"/>
          <w:sz w:val="24"/>
          <w:szCs w:val="24"/>
        </w:rPr>
        <w:t>iem</w:t>
      </w:r>
      <w:r w:rsidRPr="00F636FC">
        <w:rPr>
          <w:rFonts w:ascii="Times New Roman" w:hAnsi="Times New Roman" w:cs="Times New Roman"/>
          <w:sz w:val="24"/>
          <w:szCs w:val="24"/>
        </w:rPr>
        <w:t xml:space="preserve"> – ne vēlāk kā 15 (piecpadsmit) darba dienu laikā no </w:t>
      </w:r>
      <w:r w:rsidR="00D07CCB">
        <w:rPr>
          <w:rFonts w:ascii="Times New Roman" w:hAnsi="Times New Roman" w:cs="Times New Roman"/>
          <w:sz w:val="24"/>
          <w:szCs w:val="24"/>
        </w:rPr>
        <w:t>6</w:t>
      </w:r>
      <w:r w:rsidRPr="00F636FC">
        <w:rPr>
          <w:rFonts w:ascii="Times New Roman" w:hAnsi="Times New Roman" w:cs="Times New Roman"/>
          <w:sz w:val="24"/>
          <w:szCs w:val="24"/>
        </w:rPr>
        <w:t xml:space="preserve">.1. punktā minētās tikšanās. Uzmetumam jāsatur kopsavilkums par katru no norādītajām sadaļām. Ja rodas nepieciešamība precizēt iesniegto nodevumu atbilstoši </w:t>
      </w:r>
      <w:r w:rsidR="00D07CCB">
        <w:rPr>
          <w:rFonts w:ascii="Times New Roman" w:hAnsi="Times New Roman" w:cs="Times New Roman"/>
          <w:sz w:val="24"/>
          <w:szCs w:val="24"/>
        </w:rPr>
        <w:t>p</w:t>
      </w:r>
      <w:r w:rsidRPr="00F636FC">
        <w:rPr>
          <w:rFonts w:ascii="Times New Roman" w:hAnsi="Times New Roman" w:cs="Times New Roman"/>
          <w:sz w:val="24"/>
          <w:szCs w:val="24"/>
        </w:rPr>
        <w:t>asūtītāju norādēm, tas tiek izdarīts ne vēlāk kā 5 (piecu) darba dienu laikā no norādījumu saņemšanas</w:t>
      </w:r>
      <w:r w:rsidR="00D07CCB">
        <w:rPr>
          <w:rFonts w:ascii="Times New Roman" w:hAnsi="Times New Roman" w:cs="Times New Roman"/>
          <w:sz w:val="24"/>
          <w:szCs w:val="24"/>
        </w:rPr>
        <w:t xml:space="preserve"> dienas</w:t>
      </w:r>
      <w:r w:rsidRPr="00F636FC">
        <w:rPr>
          <w:rFonts w:ascii="Times New Roman" w:hAnsi="Times New Roman" w:cs="Times New Roman"/>
          <w:sz w:val="24"/>
          <w:szCs w:val="24"/>
        </w:rPr>
        <w:t>.</w:t>
      </w:r>
    </w:p>
    <w:p w14:paraId="4993CFF2" w14:textId="13B73647" w:rsidR="00F636FC" w:rsidRPr="00F636FC" w:rsidRDefault="00F636FC" w:rsidP="00A67869">
      <w:pPr>
        <w:numPr>
          <w:ilvl w:val="1"/>
          <w:numId w:val="35"/>
        </w:numPr>
        <w:spacing w:after="120" w:line="240" w:lineRule="auto"/>
        <w:ind w:left="1134" w:hanging="425"/>
        <w:jc w:val="both"/>
        <w:rPr>
          <w:rFonts w:ascii="Times New Roman" w:hAnsi="Times New Roman" w:cs="Times New Roman"/>
          <w:color w:val="FF0000"/>
          <w:sz w:val="24"/>
          <w:szCs w:val="24"/>
        </w:rPr>
      </w:pPr>
      <w:r w:rsidRPr="00F636FC">
        <w:rPr>
          <w:rFonts w:ascii="Times New Roman" w:hAnsi="Times New Roman" w:cs="Times New Roman"/>
          <w:sz w:val="24"/>
          <w:szCs w:val="24"/>
        </w:rPr>
        <w:t xml:space="preserve">Tikšanās ar </w:t>
      </w:r>
      <w:r w:rsidR="00D07CCB">
        <w:rPr>
          <w:rFonts w:ascii="Times New Roman" w:hAnsi="Times New Roman" w:cs="Times New Roman"/>
          <w:sz w:val="24"/>
          <w:szCs w:val="24"/>
        </w:rPr>
        <w:t>p</w:t>
      </w:r>
      <w:r w:rsidRPr="00F636FC">
        <w:rPr>
          <w:rFonts w:ascii="Times New Roman" w:hAnsi="Times New Roman" w:cs="Times New Roman"/>
          <w:sz w:val="24"/>
          <w:szCs w:val="24"/>
        </w:rPr>
        <w:t xml:space="preserve">asūtītāja pārstāvjiem par apmācību programmas un materiālu uzmetuma saskaņošanu – ne vēlāk kā 20 (divdesmit) darba dienu laikā no </w:t>
      </w:r>
      <w:r w:rsidR="00D07CCB">
        <w:rPr>
          <w:rFonts w:ascii="Times New Roman" w:hAnsi="Times New Roman" w:cs="Times New Roman"/>
          <w:sz w:val="24"/>
          <w:szCs w:val="24"/>
        </w:rPr>
        <w:t>6</w:t>
      </w:r>
      <w:r w:rsidRPr="00F636FC">
        <w:rPr>
          <w:rFonts w:ascii="Times New Roman" w:hAnsi="Times New Roman" w:cs="Times New Roman"/>
          <w:sz w:val="24"/>
          <w:szCs w:val="24"/>
        </w:rPr>
        <w:t xml:space="preserve">.1. punktā minētās tikšanās. </w:t>
      </w:r>
    </w:p>
    <w:p w14:paraId="469D5D91" w14:textId="77A88FD0" w:rsidR="00F636FC" w:rsidRPr="00F636FC" w:rsidRDefault="00F636FC" w:rsidP="00A67869">
      <w:pPr>
        <w:numPr>
          <w:ilvl w:val="1"/>
          <w:numId w:val="35"/>
        </w:numPr>
        <w:spacing w:after="120" w:line="240" w:lineRule="auto"/>
        <w:ind w:left="1134" w:hanging="425"/>
        <w:jc w:val="both"/>
        <w:rPr>
          <w:rFonts w:ascii="Times New Roman" w:hAnsi="Times New Roman" w:cs="Times New Roman"/>
          <w:sz w:val="24"/>
          <w:szCs w:val="24"/>
        </w:rPr>
      </w:pPr>
      <w:r w:rsidRPr="00F636FC">
        <w:rPr>
          <w:rFonts w:ascii="Times New Roman" w:hAnsi="Times New Roman" w:cs="Times New Roman"/>
          <w:sz w:val="24"/>
          <w:szCs w:val="24"/>
        </w:rPr>
        <w:t xml:space="preserve">Detalizētas apmācību programmas un materiālu izstrāde un iesniegšana </w:t>
      </w:r>
      <w:r w:rsidR="00D07CCB">
        <w:rPr>
          <w:rFonts w:ascii="Times New Roman" w:hAnsi="Times New Roman" w:cs="Times New Roman"/>
          <w:sz w:val="24"/>
          <w:szCs w:val="24"/>
        </w:rPr>
        <w:t>p</w:t>
      </w:r>
      <w:r w:rsidRPr="00F636FC">
        <w:rPr>
          <w:rFonts w:ascii="Times New Roman" w:hAnsi="Times New Roman" w:cs="Times New Roman"/>
          <w:sz w:val="24"/>
          <w:szCs w:val="24"/>
        </w:rPr>
        <w:t>asūtītāj</w:t>
      </w:r>
      <w:r w:rsidR="00D07CCB">
        <w:rPr>
          <w:rFonts w:ascii="Times New Roman" w:hAnsi="Times New Roman" w:cs="Times New Roman"/>
          <w:sz w:val="24"/>
          <w:szCs w:val="24"/>
        </w:rPr>
        <w:t>iem</w:t>
      </w:r>
      <w:r w:rsidRPr="00F636FC">
        <w:rPr>
          <w:rFonts w:ascii="Times New Roman" w:hAnsi="Times New Roman" w:cs="Times New Roman"/>
          <w:sz w:val="24"/>
          <w:szCs w:val="24"/>
        </w:rPr>
        <w:t xml:space="preserve"> – ne vēlāk kā 3 (trīs mēnešu laikā) no</w:t>
      </w:r>
      <w:r w:rsidR="00D07CCB">
        <w:rPr>
          <w:rFonts w:ascii="Times New Roman" w:hAnsi="Times New Roman" w:cs="Times New Roman"/>
          <w:sz w:val="24"/>
          <w:szCs w:val="24"/>
        </w:rPr>
        <w:t xml:space="preserve"> iepirkuma l</w:t>
      </w:r>
      <w:r w:rsidRPr="00F636FC">
        <w:rPr>
          <w:rFonts w:ascii="Times New Roman" w:hAnsi="Times New Roman" w:cs="Times New Roman"/>
          <w:sz w:val="24"/>
          <w:szCs w:val="24"/>
        </w:rPr>
        <w:t>īguma noslēgšanas</w:t>
      </w:r>
      <w:r w:rsidR="00D07CCB">
        <w:rPr>
          <w:rFonts w:ascii="Times New Roman" w:hAnsi="Times New Roman" w:cs="Times New Roman"/>
          <w:sz w:val="24"/>
          <w:szCs w:val="24"/>
        </w:rPr>
        <w:t xml:space="preserve"> dienas</w:t>
      </w:r>
      <w:r w:rsidRPr="00F636FC">
        <w:rPr>
          <w:rFonts w:ascii="Times New Roman" w:hAnsi="Times New Roman" w:cs="Times New Roman"/>
          <w:sz w:val="24"/>
          <w:szCs w:val="24"/>
        </w:rPr>
        <w:t>.</w:t>
      </w:r>
    </w:p>
    <w:p w14:paraId="1E1B57AC" w14:textId="77777777" w:rsidR="00F636FC" w:rsidRPr="00F636FC" w:rsidRDefault="00F636FC" w:rsidP="00F636FC">
      <w:pPr>
        <w:spacing w:after="120" w:line="240" w:lineRule="auto"/>
        <w:jc w:val="both"/>
        <w:rPr>
          <w:rFonts w:ascii="Times New Roman" w:hAnsi="Times New Roman" w:cs="Times New Roman"/>
          <w:sz w:val="24"/>
          <w:szCs w:val="24"/>
        </w:rPr>
      </w:pPr>
    </w:p>
    <w:p w14:paraId="19FF2CB7" w14:textId="77777777" w:rsidR="00F636FC" w:rsidRPr="00F636FC" w:rsidRDefault="00F636FC" w:rsidP="00F636FC">
      <w:pPr>
        <w:pStyle w:val="msonormalcxspmiddle"/>
        <w:spacing w:before="0" w:beforeAutospacing="0" w:after="120" w:afterAutospacing="0"/>
        <w:ind w:left="2411"/>
        <w:jc w:val="both"/>
        <w:rPr>
          <w:b/>
          <w:highlight w:val="yellow"/>
        </w:rPr>
      </w:pPr>
    </w:p>
    <w:p w14:paraId="6D632A0A" w14:textId="76B5E5C9" w:rsidR="00F636FC" w:rsidRPr="00F636FC" w:rsidRDefault="00F636FC" w:rsidP="00F636FC">
      <w:pPr>
        <w:spacing w:after="120" w:line="240" w:lineRule="auto"/>
        <w:rPr>
          <w:rFonts w:ascii="Times New Roman" w:hAnsi="Times New Roman" w:cs="Times New Roman"/>
          <w:b/>
          <w:sz w:val="24"/>
          <w:szCs w:val="24"/>
          <w:highlight w:val="yellow"/>
        </w:rPr>
      </w:pPr>
    </w:p>
    <w:sectPr w:rsidR="00F636FC" w:rsidRPr="00F636FC" w:rsidSect="001D4A69">
      <w:headerReference w:type="default"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4E44F" w14:textId="77777777" w:rsidR="00A04465" w:rsidRDefault="00A04465" w:rsidP="00C925EE">
      <w:pPr>
        <w:spacing w:after="0" w:line="240" w:lineRule="auto"/>
      </w:pPr>
      <w:r>
        <w:separator/>
      </w:r>
    </w:p>
  </w:endnote>
  <w:endnote w:type="continuationSeparator" w:id="0">
    <w:p w14:paraId="0D5BE2ED" w14:textId="77777777" w:rsidR="00A04465" w:rsidRDefault="00A04465"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C17B25">
          <w:rPr>
            <w:noProof/>
          </w:rPr>
          <w:t>12</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E3281" w14:textId="77777777" w:rsidR="00A04465" w:rsidRDefault="00A04465" w:rsidP="00C925EE">
      <w:pPr>
        <w:spacing w:after="0" w:line="240" w:lineRule="auto"/>
      </w:pPr>
      <w:r>
        <w:separator/>
      </w:r>
    </w:p>
  </w:footnote>
  <w:footnote w:type="continuationSeparator" w:id="0">
    <w:p w14:paraId="1D60392E" w14:textId="77777777" w:rsidR="00A04465" w:rsidRDefault="00A04465" w:rsidP="00C925EE">
      <w:pPr>
        <w:spacing w:after="0" w:line="240" w:lineRule="auto"/>
      </w:pPr>
      <w:r>
        <w:continuationSeparator/>
      </w:r>
    </w:p>
  </w:footnote>
  <w:footnote w:id="1">
    <w:p w14:paraId="1050BF5E" w14:textId="15D3865D" w:rsidR="00F636FC" w:rsidRPr="00CD08C0" w:rsidRDefault="00F636FC" w:rsidP="00F636FC">
      <w:pPr>
        <w:pStyle w:val="Vresteksts"/>
        <w:jc w:val="both"/>
        <w:rPr>
          <w:rFonts w:ascii="Times New Roman" w:hAnsi="Times New Roman"/>
        </w:rPr>
      </w:pPr>
      <w:r w:rsidRPr="00CD08C0">
        <w:rPr>
          <w:rStyle w:val="Vresatsauce"/>
          <w:rFonts w:ascii="Times New Roman" w:hAnsi="Times New Roman"/>
        </w:rPr>
        <w:footnoteRef/>
      </w:r>
      <w:r w:rsidRPr="00CD08C0">
        <w:rPr>
          <w:rFonts w:ascii="Times New Roman" w:hAnsi="Times New Roman"/>
          <w:color w:val="222222"/>
          <w:shd w:val="clear" w:color="auto" w:fill="FFFFFF"/>
        </w:rPr>
        <w:t xml:space="preserve">Šajā modulī plānots apmācīt </w:t>
      </w:r>
      <w:r w:rsidRPr="00CD08C0">
        <w:rPr>
          <w:rFonts w:ascii="Times New Roman" w:hAnsi="Times New Roman"/>
          <w:shd w:val="clear" w:color="auto" w:fill="FFFFFF"/>
        </w:rPr>
        <w:t>speciālistus par to, kā sniegt atbalstu </w:t>
      </w:r>
      <w:r w:rsidR="00CD08C0">
        <w:rPr>
          <w:rFonts w:ascii="Times New Roman" w:hAnsi="Times New Roman"/>
          <w:shd w:val="clear" w:color="auto" w:fill="FFFFFF"/>
        </w:rPr>
        <w:t xml:space="preserve">tabulas </w:t>
      </w:r>
      <w:r w:rsidRPr="00CD08C0">
        <w:rPr>
          <w:rFonts w:ascii="Times New Roman" w:hAnsi="Times New Roman"/>
          <w:shd w:val="clear" w:color="auto" w:fill="FFFFFF"/>
        </w:rPr>
        <w:t xml:space="preserve">6.punktā minētajās jomās un kā uzlabot pašas personas ar GRT prasmes. </w:t>
      </w:r>
      <w:r w:rsidRPr="00CD08C0">
        <w:rPr>
          <w:rFonts w:ascii="Times New Roman" w:hAnsi="Times New Roman"/>
        </w:rPr>
        <w:t xml:space="preserve">Viens specializētais modulis - VSAC speciālistu apmācībām jāizstrādā, ņemot vērā, ka sagatavošana notiks VSAC. Otrs specializētais modulis jāizstrādā sociālajiem mentoriem, ņemot vērā, ka sagatavošanas process notiks jaunajā dzīvesvietā.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EDE8" w14:textId="5890B160" w:rsidR="00E74577" w:rsidRPr="00E74577" w:rsidRDefault="00E74577" w:rsidP="00E74577">
    <w:pPr>
      <w:pStyle w:val="Galvene"/>
      <w:jc w:val="right"/>
      <w:rPr>
        <w:rFonts w:ascii="Times New Roman" w:hAnsi="Times New Roman" w:cs="Times New Roman"/>
        <w:i/>
        <w:sz w:val="24"/>
        <w:szCs w:val="24"/>
      </w:rPr>
    </w:pPr>
    <w:r w:rsidRPr="00E74577">
      <w:rPr>
        <w:rFonts w:ascii="Times New Roman" w:hAnsi="Times New Roman" w:cs="Times New Roman"/>
        <w:i/>
        <w:sz w:val="24"/>
        <w:szCs w:val="24"/>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5"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6"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7"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8"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3"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35"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5"/>
  </w:num>
  <w:num w:numId="3">
    <w:abstractNumId w:val="23"/>
  </w:num>
  <w:num w:numId="4">
    <w:abstractNumId w:val="9"/>
  </w:num>
  <w:num w:numId="5">
    <w:abstractNumId w:val="2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8"/>
  </w:num>
  <w:num w:numId="9">
    <w:abstractNumId w:val="39"/>
  </w:num>
  <w:num w:numId="10">
    <w:abstractNumId w:val="26"/>
  </w:num>
  <w:num w:numId="11">
    <w:abstractNumId w:val="25"/>
  </w:num>
  <w:num w:numId="12">
    <w:abstractNumId w:val="38"/>
  </w:num>
  <w:num w:numId="13">
    <w:abstractNumId w:val="7"/>
  </w:num>
  <w:num w:numId="14">
    <w:abstractNumId w:val="36"/>
  </w:num>
  <w:num w:numId="15">
    <w:abstractNumId w:val="33"/>
  </w:num>
  <w:num w:numId="16">
    <w:abstractNumId w:val="31"/>
  </w:num>
  <w:num w:numId="17">
    <w:abstractNumId w:val="20"/>
  </w:num>
  <w:num w:numId="18">
    <w:abstractNumId w:val="16"/>
  </w:num>
  <w:num w:numId="19">
    <w:abstractNumId w:val="37"/>
  </w:num>
  <w:num w:numId="20">
    <w:abstractNumId w:val="17"/>
  </w:num>
  <w:num w:numId="21">
    <w:abstractNumId w:val="15"/>
  </w:num>
  <w:num w:numId="22">
    <w:abstractNumId w:val="6"/>
  </w:num>
  <w:num w:numId="23">
    <w:abstractNumId w:val="19"/>
  </w:num>
  <w:num w:numId="24">
    <w:abstractNumId w:val="35"/>
  </w:num>
  <w:num w:numId="25">
    <w:abstractNumId w:val="10"/>
  </w:num>
  <w:num w:numId="26">
    <w:abstractNumId w:val="1"/>
  </w:num>
  <w:num w:numId="27">
    <w:abstractNumId w:val="29"/>
  </w:num>
  <w:num w:numId="28">
    <w:abstractNumId w:val="40"/>
  </w:num>
  <w:num w:numId="29">
    <w:abstractNumId w:val="13"/>
  </w:num>
  <w:num w:numId="30">
    <w:abstractNumId w:val="22"/>
  </w:num>
  <w:num w:numId="31">
    <w:abstractNumId w:val="3"/>
  </w:num>
  <w:num w:numId="32">
    <w:abstractNumId w:val="12"/>
  </w:num>
  <w:num w:numId="33">
    <w:abstractNumId w:val="2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41"/>
  </w:num>
  <w:num w:numId="36">
    <w:abstractNumId w:val="11"/>
  </w:num>
  <w:num w:numId="37">
    <w:abstractNumId w:val="14"/>
  </w:num>
  <w:num w:numId="38">
    <w:abstractNumId w:val="2"/>
  </w:num>
  <w:num w:numId="39">
    <w:abstractNumId w:val="34"/>
  </w:num>
  <w:num w:numId="40">
    <w:abstractNumId w:val="32"/>
  </w:num>
  <w:num w:numId="41">
    <w:abstractNumId w:val="4"/>
  </w:num>
  <w:num w:numId="42">
    <w:abstractNumId w:val="3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32470"/>
    <w:rsid w:val="000616F8"/>
    <w:rsid w:val="00083758"/>
    <w:rsid w:val="00083915"/>
    <w:rsid w:val="00083C8F"/>
    <w:rsid w:val="000C005D"/>
    <w:rsid w:val="000D2B9E"/>
    <w:rsid w:val="000E49D9"/>
    <w:rsid w:val="000E7B1F"/>
    <w:rsid w:val="00107651"/>
    <w:rsid w:val="001208D1"/>
    <w:rsid w:val="00122BA3"/>
    <w:rsid w:val="00123031"/>
    <w:rsid w:val="00124135"/>
    <w:rsid w:val="00131BB3"/>
    <w:rsid w:val="00135ABA"/>
    <w:rsid w:val="00137E2F"/>
    <w:rsid w:val="0014654A"/>
    <w:rsid w:val="00157537"/>
    <w:rsid w:val="00161731"/>
    <w:rsid w:val="00174538"/>
    <w:rsid w:val="001A78B6"/>
    <w:rsid w:val="001B1F4A"/>
    <w:rsid w:val="001B6501"/>
    <w:rsid w:val="001D4A69"/>
    <w:rsid w:val="001E0FB9"/>
    <w:rsid w:val="001E18FB"/>
    <w:rsid w:val="001F7408"/>
    <w:rsid w:val="002127C6"/>
    <w:rsid w:val="00226BB0"/>
    <w:rsid w:val="002322CC"/>
    <w:rsid w:val="00235F7A"/>
    <w:rsid w:val="002A1745"/>
    <w:rsid w:val="002B5418"/>
    <w:rsid w:val="002C4B67"/>
    <w:rsid w:val="002D7197"/>
    <w:rsid w:val="002D76A0"/>
    <w:rsid w:val="002E59BE"/>
    <w:rsid w:val="0031757F"/>
    <w:rsid w:val="00343782"/>
    <w:rsid w:val="00353FC4"/>
    <w:rsid w:val="00380A03"/>
    <w:rsid w:val="003C356E"/>
    <w:rsid w:val="003C4D2B"/>
    <w:rsid w:val="003C782F"/>
    <w:rsid w:val="003E1CB1"/>
    <w:rsid w:val="003E6C60"/>
    <w:rsid w:val="00415852"/>
    <w:rsid w:val="00416DD1"/>
    <w:rsid w:val="004301C0"/>
    <w:rsid w:val="00430DDD"/>
    <w:rsid w:val="004328D8"/>
    <w:rsid w:val="00433163"/>
    <w:rsid w:val="00454C6B"/>
    <w:rsid w:val="00457D72"/>
    <w:rsid w:val="00460E6F"/>
    <w:rsid w:val="00464315"/>
    <w:rsid w:val="004814CF"/>
    <w:rsid w:val="004A21AE"/>
    <w:rsid w:val="004B09EF"/>
    <w:rsid w:val="004B0A93"/>
    <w:rsid w:val="004B490C"/>
    <w:rsid w:val="004B6783"/>
    <w:rsid w:val="004C743A"/>
    <w:rsid w:val="004D3E58"/>
    <w:rsid w:val="004E1A54"/>
    <w:rsid w:val="0050420A"/>
    <w:rsid w:val="005070C3"/>
    <w:rsid w:val="00507E34"/>
    <w:rsid w:val="00524306"/>
    <w:rsid w:val="0053083C"/>
    <w:rsid w:val="005406D8"/>
    <w:rsid w:val="0054077C"/>
    <w:rsid w:val="00543D61"/>
    <w:rsid w:val="00552F81"/>
    <w:rsid w:val="00554D43"/>
    <w:rsid w:val="005604B7"/>
    <w:rsid w:val="00562D9C"/>
    <w:rsid w:val="00574294"/>
    <w:rsid w:val="00574B34"/>
    <w:rsid w:val="00580494"/>
    <w:rsid w:val="00585A7A"/>
    <w:rsid w:val="005A638A"/>
    <w:rsid w:val="005C58CE"/>
    <w:rsid w:val="005E6655"/>
    <w:rsid w:val="005F2AA7"/>
    <w:rsid w:val="006416E0"/>
    <w:rsid w:val="00644E28"/>
    <w:rsid w:val="00650E7E"/>
    <w:rsid w:val="00655AE2"/>
    <w:rsid w:val="00673C56"/>
    <w:rsid w:val="0067780E"/>
    <w:rsid w:val="006878D0"/>
    <w:rsid w:val="006A78AF"/>
    <w:rsid w:val="006B5765"/>
    <w:rsid w:val="006D01A4"/>
    <w:rsid w:val="006D1D9C"/>
    <w:rsid w:val="006D7D64"/>
    <w:rsid w:val="006F1281"/>
    <w:rsid w:val="00710C37"/>
    <w:rsid w:val="00711778"/>
    <w:rsid w:val="00712D4A"/>
    <w:rsid w:val="00715F11"/>
    <w:rsid w:val="00734BD5"/>
    <w:rsid w:val="0074513A"/>
    <w:rsid w:val="00756278"/>
    <w:rsid w:val="00772EC2"/>
    <w:rsid w:val="00785B57"/>
    <w:rsid w:val="00797D22"/>
    <w:rsid w:val="007A377F"/>
    <w:rsid w:val="007B194E"/>
    <w:rsid w:val="007D4DEA"/>
    <w:rsid w:val="007E00D9"/>
    <w:rsid w:val="007F09D8"/>
    <w:rsid w:val="007F2588"/>
    <w:rsid w:val="007F32E6"/>
    <w:rsid w:val="007F5567"/>
    <w:rsid w:val="008010D2"/>
    <w:rsid w:val="008044CD"/>
    <w:rsid w:val="008072D6"/>
    <w:rsid w:val="00835272"/>
    <w:rsid w:val="00845A97"/>
    <w:rsid w:val="00845B5D"/>
    <w:rsid w:val="00861C01"/>
    <w:rsid w:val="00866293"/>
    <w:rsid w:val="008720A4"/>
    <w:rsid w:val="00876DCE"/>
    <w:rsid w:val="0088118A"/>
    <w:rsid w:val="008945DD"/>
    <w:rsid w:val="008A7FAB"/>
    <w:rsid w:val="008B09C4"/>
    <w:rsid w:val="008B139C"/>
    <w:rsid w:val="008B1448"/>
    <w:rsid w:val="008C073B"/>
    <w:rsid w:val="008C1E39"/>
    <w:rsid w:val="008C46C9"/>
    <w:rsid w:val="008D260B"/>
    <w:rsid w:val="008D311F"/>
    <w:rsid w:val="008E0A63"/>
    <w:rsid w:val="008E2DFC"/>
    <w:rsid w:val="008E65E8"/>
    <w:rsid w:val="0091105B"/>
    <w:rsid w:val="009128DD"/>
    <w:rsid w:val="009149CC"/>
    <w:rsid w:val="00915FEB"/>
    <w:rsid w:val="00922099"/>
    <w:rsid w:val="009334A2"/>
    <w:rsid w:val="0093380F"/>
    <w:rsid w:val="0093392F"/>
    <w:rsid w:val="00937B8C"/>
    <w:rsid w:val="00940AEE"/>
    <w:rsid w:val="0094503B"/>
    <w:rsid w:val="009925E7"/>
    <w:rsid w:val="009A3673"/>
    <w:rsid w:val="009C1738"/>
    <w:rsid w:val="009D1E28"/>
    <w:rsid w:val="009F5C80"/>
    <w:rsid w:val="00A02034"/>
    <w:rsid w:val="00A04465"/>
    <w:rsid w:val="00A15017"/>
    <w:rsid w:val="00A371D9"/>
    <w:rsid w:val="00A500E2"/>
    <w:rsid w:val="00A54260"/>
    <w:rsid w:val="00A6274F"/>
    <w:rsid w:val="00A67869"/>
    <w:rsid w:val="00A83D53"/>
    <w:rsid w:val="00A92E26"/>
    <w:rsid w:val="00AA05C3"/>
    <w:rsid w:val="00AC54BC"/>
    <w:rsid w:val="00AD2D66"/>
    <w:rsid w:val="00AE1821"/>
    <w:rsid w:val="00AE7845"/>
    <w:rsid w:val="00AF0C98"/>
    <w:rsid w:val="00B1170B"/>
    <w:rsid w:val="00B15438"/>
    <w:rsid w:val="00B34EA1"/>
    <w:rsid w:val="00B3544B"/>
    <w:rsid w:val="00B50980"/>
    <w:rsid w:val="00B63CFC"/>
    <w:rsid w:val="00B650D9"/>
    <w:rsid w:val="00B8057E"/>
    <w:rsid w:val="00B8100A"/>
    <w:rsid w:val="00B962C3"/>
    <w:rsid w:val="00B97F61"/>
    <w:rsid w:val="00BB03B3"/>
    <w:rsid w:val="00BB37C6"/>
    <w:rsid w:val="00BC6AB1"/>
    <w:rsid w:val="00BC76E1"/>
    <w:rsid w:val="00BD1EB3"/>
    <w:rsid w:val="00BD3AE9"/>
    <w:rsid w:val="00BE13A7"/>
    <w:rsid w:val="00BE3DDA"/>
    <w:rsid w:val="00C018DB"/>
    <w:rsid w:val="00C13FE8"/>
    <w:rsid w:val="00C17B25"/>
    <w:rsid w:val="00C2042C"/>
    <w:rsid w:val="00C23E45"/>
    <w:rsid w:val="00C27FC3"/>
    <w:rsid w:val="00C344D9"/>
    <w:rsid w:val="00C4515A"/>
    <w:rsid w:val="00C66F5F"/>
    <w:rsid w:val="00C67031"/>
    <w:rsid w:val="00C77FC3"/>
    <w:rsid w:val="00C925EE"/>
    <w:rsid w:val="00CA3C87"/>
    <w:rsid w:val="00CA4CE7"/>
    <w:rsid w:val="00CB18FE"/>
    <w:rsid w:val="00CC193D"/>
    <w:rsid w:val="00CC320D"/>
    <w:rsid w:val="00CD08C0"/>
    <w:rsid w:val="00CD2A0E"/>
    <w:rsid w:val="00CD3778"/>
    <w:rsid w:val="00CD412E"/>
    <w:rsid w:val="00D07CCB"/>
    <w:rsid w:val="00D1199D"/>
    <w:rsid w:val="00D31581"/>
    <w:rsid w:val="00D40265"/>
    <w:rsid w:val="00D509AF"/>
    <w:rsid w:val="00D51FED"/>
    <w:rsid w:val="00D52623"/>
    <w:rsid w:val="00D6441B"/>
    <w:rsid w:val="00D747DB"/>
    <w:rsid w:val="00D7720E"/>
    <w:rsid w:val="00D8665C"/>
    <w:rsid w:val="00D96B8A"/>
    <w:rsid w:val="00D973F2"/>
    <w:rsid w:val="00DA1211"/>
    <w:rsid w:val="00DB31B0"/>
    <w:rsid w:val="00DB5BA0"/>
    <w:rsid w:val="00DD3984"/>
    <w:rsid w:val="00DD3E59"/>
    <w:rsid w:val="00DF78EF"/>
    <w:rsid w:val="00E14D7C"/>
    <w:rsid w:val="00E15A21"/>
    <w:rsid w:val="00E24E1D"/>
    <w:rsid w:val="00E35A7E"/>
    <w:rsid w:val="00E376FD"/>
    <w:rsid w:val="00E47B87"/>
    <w:rsid w:val="00E67778"/>
    <w:rsid w:val="00E7018A"/>
    <w:rsid w:val="00E73929"/>
    <w:rsid w:val="00E74577"/>
    <w:rsid w:val="00E75790"/>
    <w:rsid w:val="00E91E80"/>
    <w:rsid w:val="00E93279"/>
    <w:rsid w:val="00EA062F"/>
    <w:rsid w:val="00EA493A"/>
    <w:rsid w:val="00EB1542"/>
    <w:rsid w:val="00EB18A9"/>
    <w:rsid w:val="00EB6F6C"/>
    <w:rsid w:val="00EB73D6"/>
    <w:rsid w:val="00EC0F66"/>
    <w:rsid w:val="00EC21F7"/>
    <w:rsid w:val="00F00046"/>
    <w:rsid w:val="00F0582F"/>
    <w:rsid w:val="00F152D3"/>
    <w:rsid w:val="00F2569C"/>
    <w:rsid w:val="00F30ED9"/>
    <w:rsid w:val="00F406A6"/>
    <w:rsid w:val="00F41508"/>
    <w:rsid w:val="00F45B15"/>
    <w:rsid w:val="00F5606F"/>
    <w:rsid w:val="00F636FC"/>
    <w:rsid w:val="00F70A8C"/>
    <w:rsid w:val="00F73875"/>
    <w:rsid w:val="00FA2B37"/>
    <w:rsid w:val="00FA4B97"/>
    <w:rsid w:val="00FB6D32"/>
    <w:rsid w:val="00FB6FBF"/>
    <w:rsid w:val="00FC7124"/>
    <w:rsid w:val="00FF30ED"/>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upload/socialie_pakalpojumi/vadlin_reh_progr_patstaviga_dzive_1306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2C9C-016B-4B69-89BE-5248D3CD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13598</Words>
  <Characters>7752</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Jurists KPR</cp:lastModifiedBy>
  <cp:revision>2</cp:revision>
  <dcterms:created xsi:type="dcterms:W3CDTF">2019-03-28T08:44:00Z</dcterms:created>
  <dcterms:modified xsi:type="dcterms:W3CDTF">2019-03-28T08:44:00Z</dcterms:modified>
</cp:coreProperties>
</file>