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D8D72" w14:textId="77777777" w:rsidR="00DB27D7" w:rsidRPr="006E7B3F" w:rsidRDefault="00DB27D7" w:rsidP="00DB27D7">
      <w:pPr>
        <w:pStyle w:val="naisnod"/>
        <w:spacing w:before="0" w:after="0"/>
        <w:ind w:firstLine="720"/>
      </w:pPr>
      <w:r w:rsidRPr="006E7B3F">
        <w:t>Izziņa par atzinumos sniegtajiem iebildumiem</w:t>
      </w:r>
    </w:p>
    <w:tbl>
      <w:tblPr>
        <w:tblW w:w="0" w:type="auto"/>
        <w:jc w:val="center"/>
        <w:tblLook w:val="00A0" w:firstRow="1" w:lastRow="0" w:firstColumn="1" w:lastColumn="0" w:noHBand="0" w:noVBand="0"/>
      </w:tblPr>
      <w:tblGrid>
        <w:gridCol w:w="10188"/>
      </w:tblGrid>
      <w:tr w:rsidR="00DB27D7" w:rsidRPr="006E7B3F" w14:paraId="39F62622" w14:textId="77777777" w:rsidTr="008E67D5">
        <w:trPr>
          <w:jc w:val="center"/>
        </w:trPr>
        <w:tc>
          <w:tcPr>
            <w:tcW w:w="10188" w:type="dxa"/>
            <w:tcBorders>
              <w:bottom w:val="single" w:sz="6" w:space="0" w:color="000000"/>
            </w:tcBorders>
          </w:tcPr>
          <w:tbl>
            <w:tblPr>
              <w:tblW w:w="0" w:type="auto"/>
              <w:jc w:val="center"/>
              <w:tblLook w:val="00A0" w:firstRow="1" w:lastRow="0" w:firstColumn="1" w:lastColumn="0" w:noHBand="0" w:noVBand="0"/>
            </w:tblPr>
            <w:tblGrid>
              <w:gridCol w:w="9972"/>
            </w:tblGrid>
            <w:tr w:rsidR="007B31AE" w:rsidRPr="006E7B3F" w14:paraId="45F78C4A" w14:textId="77777777" w:rsidTr="00AE2C4D">
              <w:trPr>
                <w:jc w:val="center"/>
              </w:trPr>
              <w:tc>
                <w:tcPr>
                  <w:tcW w:w="9972" w:type="dxa"/>
                  <w:tcBorders>
                    <w:bottom w:val="single" w:sz="6" w:space="0" w:color="000000"/>
                  </w:tcBorders>
                </w:tcPr>
                <w:p w14:paraId="666B85C4" w14:textId="77777777" w:rsidR="007B31AE" w:rsidRPr="006E7B3F" w:rsidRDefault="007B31AE" w:rsidP="007B31AE">
                  <w:pPr>
                    <w:pStyle w:val="ListParagraph"/>
                    <w:spacing w:line="240" w:lineRule="auto"/>
                    <w:jc w:val="center"/>
                    <w:rPr>
                      <w:rFonts w:ascii="Times New Roman" w:hAnsi="Times New Roman"/>
                      <w:b/>
                      <w:sz w:val="24"/>
                      <w:szCs w:val="24"/>
                      <w:lang w:eastAsia="lv-LV" w:bidi="lo-LA"/>
                    </w:rPr>
                  </w:pPr>
                  <w:r w:rsidRPr="006E7B3F">
                    <w:rPr>
                      <w:rStyle w:val="FontStyle60"/>
                      <w:b/>
                      <w:sz w:val="24"/>
                      <w:szCs w:val="24"/>
                      <w:lang w:eastAsia="lv-LV" w:bidi="lo-LA"/>
                    </w:rPr>
                    <w:t>Informatīvais ziņojums “Par plānošanas reģionu darbības pilnveidošanu”</w:t>
                  </w:r>
                </w:p>
              </w:tc>
            </w:tr>
          </w:tbl>
          <w:p w14:paraId="0231577E" w14:textId="27E70E36" w:rsidR="00DB27D7" w:rsidRPr="006E7B3F" w:rsidRDefault="00DB27D7" w:rsidP="00680022">
            <w:pPr>
              <w:ind w:firstLine="720"/>
              <w:jc w:val="center"/>
              <w:rPr>
                <w:b/>
              </w:rPr>
            </w:pPr>
          </w:p>
        </w:tc>
      </w:tr>
    </w:tbl>
    <w:p w14:paraId="3321CA62" w14:textId="77777777" w:rsidR="00DB27D7" w:rsidRPr="006E7B3F" w:rsidRDefault="00DB27D7" w:rsidP="00DB27D7">
      <w:pPr>
        <w:pStyle w:val="naisc"/>
        <w:spacing w:before="0" w:after="0"/>
        <w:ind w:firstLine="1080"/>
        <w:rPr>
          <w:sz w:val="22"/>
          <w:szCs w:val="22"/>
        </w:rPr>
      </w:pPr>
      <w:r w:rsidRPr="006E7B3F">
        <w:rPr>
          <w:sz w:val="22"/>
          <w:szCs w:val="22"/>
        </w:rPr>
        <w:t>(dokumenta veids un nosaukums)</w:t>
      </w:r>
    </w:p>
    <w:p w14:paraId="325DEEE3" w14:textId="77777777" w:rsidR="00DB27D7" w:rsidRPr="006E7B3F" w:rsidRDefault="00DB27D7" w:rsidP="00DB27D7">
      <w:pPr>
        <w:pStyle w:val="naisf"/>
        <w:spacing w:before="0" w:after="0"/>
        <w:ind w:firstLine="720"/>
        <w:rPr>
          <w:sz w:val="22"/>
          <w:szCs w:val="22"/>
        </w:rPr>
      </w:pPr>
    </w:p>
    <w:p w14:paraId="58A259C6" w14:textId="77777777" w:rsidR="00DB27D7" w:rsidRPr="006E7B3F" w:rsidRDefault="00DB27D7" w:rsidP="00DB27D7">
      <w:pPr>
        <w:pStyle w:val="naisf"/>
        <w:spacing w:before="0" w:after="0"/>
        <w:ind w:firstLine="0"/>
        <w:jc w:val="center"/>
        <w:rPr>
          <w:b/>
          <w:sz w:val="22"/>
          <w:szCs w:val="22"/>
        </w:rPr>
      </w:pPr>
      <w:r w:rsidRPr="006E7B3F">
        <w:rPr>
          <w:b/>
          <w:sz w:val="22"/>
          <w:szCs w:val="22"/>
        </w:rPr>
        <w:t>I. Jautājumi, par kuriem saskaņošanā vienošanās nav panākta</w:t>
      </w:r>
    </w:p>
    <w:p w14:paraId="675ADC91" w14:textId="77777777" w:rsidR="00DB27D7" w:rsidRPr="006E7B3F" w:rsidRDefault="00DB27D7" w:rsidP="00DB27D7">
      <w:pPr>
        <w:pStyle w:val="naisf"/>
        <w:spacing w:before="0" w:after="0"/>
        <w:ind w:firstLine="720"/>
        <w:rPr>
          <w:sz w:val="22"/>
          <w:szCs w:val="22"/>
        </w:rPr>
      </w:pPr>
    </w:p>
    <w:tbl>
      <w:tblPr>
        <w:tblW w:w="14734"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708"/>
        <w:gridCol w:w="3086"/>
        <w:gridCol w:w="3118"/>
        <w:gridCol w:w="2977"/>
        <w:gridCol w:w="2861"/>
        <w:gridCol w:w="1984"/>
      </w:tblGrid>
      <w:tr w:rsidR="00DB27D7" w:rsidRPr="006E7B3F" w14:paraId="56DF20B8" w14:textId="77777777" w:rsidTr="008E67D5">
        <w:tc>
          <w:tcPr>
            <w:tcW w:w="708" w:type="dxa"/>
            <w:tcBorders>
              <w:top w:val="single" w:sz="6" w:space="0" w:color="000000"/>
              <w:left w:val="single" w:sz="6" w:space="0" w:color="000000"/>
              <w:bottom w:val="single" w:sz="6" w:space="0" w:color="000000"/>
              <w:right w:val="single" w:sz="6" w:space="0" w:color="000000"/>
            </w:tcBorders>
            <w:vAlign w:val="center"/>
          </w:tcPr>
          <w:p w14:paraId="23CC8623" w14:textId="77777777" w:rsidR="00DB27D7" w:rsidRPr="006E7B3F" w:rsidRDefault="00DB27D7" w:rsidP="008E67D5">
            <w:pPr>
              <w:pStyle w:val="naisc"/>
              <w:spacing w:before="0" w:after="0"/>
              <w:rPr>
                <w:sz w:val="22"/>
                <w:szCs w:val="22"/>
              </w:rPr>
            </w:pPr>
            <w:r w:rsidRPr="006E7B3F">
              <w:rPr>
                <w:sz w:val="22"/>
                <w:szCs w:val="22"/>
              </w:rPr>
              <w:t>Nr. p. k.</w:t>
            </w:r>
          </w:p>
        </w:tc>
        <w:tc>
          <w:tcPr>
            <w:tcW w:w="3086" w:type="dxa"/>
            <w:tcBorders>
              <w:top w:val="single" w:sz="6" w:space="0" w:color="000000"/>
              <w:left w:val="single" w:sz="6" w:space="0" w:color="000000"/>
              <w:bottom w:val="single" w:sz="6" w:space="0" w:color="000000"/>
              <w:right w:val="single" w:sz="6" w:space="0" w:color="000000"/>
            </w:tcBorders>
            <w:vAlign w:val="center"/>
          </w:tcPr>
          <w:p w14:paraId="7842AFEC" w14:textId="77777777" w:rsidR="00DB27D7" w:rsidRPr="006E7B3F" w:rsidRDefault="00DB27D7" w:rsidP="008E67D5">
            <w:pPr>
              <w:pStyle w:val="naisc"/>
              <w:spacing w:before="0" w:after="0"/>
              <w:ind w:firstLine="12"/>
              <w:rPr>
                <w:sz w:val="22"/>
                <w:szCs w:val="22"/>
              </w:rPr>
            </w:pPr>
            <w:r w:rsidRPr="006E7B3F">
              <w:rPr>
                <w:sz w:val="22"/>
                <w:szCs w:val="22"/>
              </w:rPr>
              <w:t>Saskaņošanai nosūtītā projekta redakcija (konkrēta punkta (panta) redakcija)</w:t>
            </w:r>
          </w:p>
        </w:tc>
        <w:tc>
          <w:tcPr>
            <w:tcW w:w="3118" w:type="dxa"/>
            <w:tcBorders>
              <w:top w:val="single" w:sz="6" w:space="0" w:color="000000"/>
              <w:left w:val="single" w:sz="6" w:space="0" w:color="000000"/>
              <w:bottom w:val="single" w:sz="6" w:space="0" w:color="000000"/>
              <w:right w:val="single" w:sz="6" w:space="0" w:color="000000"/>
            </w:tcBorders>
            <w:vAlign w:val="center"/>
          </w:tcPr>
          <w:p w14:paraId="3163EE51" w14:textId="77777777" w:rsidR="00DB27D7" w:rsidRPr="006E7B3F" w:rsidRDefault="00DB27D7" w:rsidP="008E67D5">
            <w:pPr>
              <w:pStyle w:val="naisc"/>
              <w:spacing w:before="0" w:after="0"/>
              <w:ind w:right="3"/>
              <w:rPr>
                <w:sz w:val="22"/>
                <w:szCs w:val="22"/>
              </w:rPr>
            </w:pPr>
            <w:r w:rsidRPr="006E7B3F">
              <w:rPr>
                <w:sz w:val="22"/>
                <w:szCs w:val="22"/>
              </w:rPr>
              <w:t>Atzinumā norādītais ministrijas (citas institūcijas) iebildums, kā arī saskaņošanā papildus izteiktais iebildums par projekta konkrēto punktu (pantu)</w:t>
            </w:r>
          </w:p>
        </w:tc>
        <w:tc>
          <w:tcPr>
            <w:tcW w:w="2977" w:type="dxa"/>
            <w:tcBorders>
              <w:top w:val="single" w:sz="6" w:space="0" w:color="000000"/>
              <w:left w:val="single" w:sz="6" w:space="0" w:color="000000"/>
              <w:bottom w:val="single" w:sz="6" w:space="0" w:color="000000"/>
              <w:right w:val="single" w:sz="6" w:space="0" w:color="000000"/>
            </w:tcBorders>
            <w:vAlign w:val="center"/>
          </w:tcPr>
          <w:p w14:paraId="61BA5D62" w14:textId="77777777" w:rsidR="00DB27D7" w:rsidRPr="006E7B3F" w:rsidRDefault="00DB27D7" w:rsidP="008E67D5">
            <w:pPr>
              <w:pStyle w:val="naisc"/>
              <w:spacing w:before="0" w:after="0"/>
              <w:ind w:firstLine="21"/>
              <w:rPr>
                <w:sz w:val="22"/>
                <w:szCs w:val="22"/>
              </w:rPr>
            </w:pPr>
            <w:r w:rsidRPr="006E7B3F">
              <w:rPr>
                <w:sz w:val="22"/>
                <w:szCs w:val="22"/>
              </w:rPr>
              <w:t>Atbildīgās ministrijas pamatojums iebilduma noraidījumam</w:t>
            </w:r>
          </w:p>
        </w:tc>
        <w:tc>
          <w:tcPr>
            <w:tcW w:w="2861" w:type="dxa"/>
            <w:tcBorders>
              <w:top w:val="single" w:sz="4" w:space="0" w:color="auto"/>
              <w:left w:val="single" w:sz="4" w:space="0" w:color="auto"/>
              <w:bottom w:val="single" w:sz="4" w:space="0" w:color="auto"/>
              <w:right w:val="single" w:sz="4" w:space="0" w:color="auto"/>
            </w:tcBorders>
            <w:vAlign w:val="center"/>
          </w:tcPr>
          <w:p w14:paraId="459D6F23" w14:textId="77777777" w:rsidR="00DB27D7" w:rsidRPr="006E7B3F" w:rsidRDefault="00DB27D7" w:rsidP="008E67D5">
            <w:pPr>
              <w:jc w:val="center"/>
              <w:rPr>
                <w:sz w:val="22"/>
                <w:szCs w:val="22"/>
              </w:rPr>
            </w:pPr>
            <w:r w:rsidRPr="006E7B3F">
              <w:rPr>
                <w:sz w:val="22"/>
                <w:szCs w:val="22"/>
              </w:rPr>
              <w:t>Atzinuma sniedzēja uzturētais iebildums, ja tas atšķiras no atzinumā norādītā iebilduma pamatojuma</w:t>
            </w:r>
          </w:p>
        </w:tc>
        <w:tc>
          <w:tcPr>
            <w:tcW w:w="1984" w:type="dxa"/>
            <w:tcBorders>
              <w:top w:val="single" w:sz="4" w:space="0" w:color="auto"/>
              <w:left w:val="single" w:sz="4" w:space="0" w:color="auto"/>
              <w:bottom w:val="single" w:sz="4" w:space="0" w:color="auto"/>
            </w:tcBorders>
            <w:vAlign w:val="center"/>
          </w:tcPr>
          <w:p w14:paraId="43BD7931" w14:textId="77777777" w:rsidR="00DB27D7" w:rsidRPr="006E7B3F" w:rsidRDefault="00DB27D7" w:rsidP="008E67D5">
            <w:pPr>
              <w:jc w:val="center"/>
              <w:rPr>
                <w:sz w:val="22"/>
                <w:szCs w:val="22"/>
              </w:rPr>
            </w:pPr>
            <w:r w:rsidRPr="006E7B3F">
              <w:rPr>
                <w:sz w:val="22"/>
                <w:szCs w:val="22"/>
              </w:rPr>
              <w:t>Projekta attiecīgā punkta (panta) galīgā redakcija</w:t>
            </w:r>
          </w:p>
        </w:tc>
      </w:tr>
      <w:tr w:rsidR="00DB27D7" w:rsidRPr="006E7B3F" w14:paraId="435497EF" w14:textId="77777777" w:rsidTr="008E67D5">
        <w:tc>
          <w:tcPr>
            <w:tcW w:w="708" w:type="dxa"/>
            <w:tcBorders>
              <w:top w:val="single" w:sz="6" w:space="0" w:color="000000"/>
              <w:left w:val="single" w:sz="6" w:space="0" w:color="000000"/>
              <w:bottom w:val="single" w:sz="6" w:space="0" w:color="000000"/>
              <w:right w:val="single" w:sz="6" w:space="0" w:color="000000"/>
            </w:tcBorders>
          </w:tcPr>
          <w:p w14:paraId="48F71D77" w14:textId="77777777" w:rsidR="00DB27D7" w:rsidRPr="006E7B3F" w:rsidRDefault="00DB27D7" w:rsidP="008E67D5">
            <w:pPr>
              <w:pStyle w:val="naisc"/>
              <w:spacing w:before="0" w:after="0"/>
              <w:rPr>
                <w:sz w:val="22"/>
                <w:szCs w:val="22"/>
              </w:rPr>
            </w:pPr>
            <w:r w:rsidRPr="006E7B3F">
              <w:rPr>
                <w:sz w:val="22"/>
                <w:szCs w:val="22"/>
              </w:rPr>
              <w:t>1</w:t>
            </w:r>
          </w:p>
        </w:tc>
        <w:tc>
          <w:tcPr>
            <w:tcW w:w="3086" w:type="dxa"/>
            <w:tcBorders>
              <w:top w:val="single" w:sz="6" w:space="0" w:color="000000"/>
              <w:left w:val="single" w:sz="6" w:space="0" w:color="000000"/>
              <w:bottom w:val="single" w:sz="6" w:space="0" w:color="000000"/>
              <w:right w:val="single" w:sz="6" w:space="0" w:color="000000"/>
            </w:tcBorders>
          </w:tcPr>
          <w:p w14:paraId="4B324A47" w14:textId="77777777" w:rsidR="00DB27D7" w:rsidRPr="006E7B3F" w:rsidRDefault="00DB27D7" w:rsidP="008E67D5">
            <w:pPr>
              <w:pStyle w:val="naisc"/>
              <w:spacing w:before="0" w:after="0"/>
              <w:ind w:firstLine="720"/>
              <w:rPr>
                <w:sz w:val="22"/>
                <w:szCs w:val="22"/>
              </w:rPr>
            </w:pPr>
            <w:r w:rsidRPr="006E7B3F">
              <w:rPr>
                <w:sz w:val="22"/>
                <w:szCs w:val="22"/>
              </w:rPr>
              <w:t>2</w:t>
            </w:r>
          </w:p>
        </w:tc>
        <w:tc>
          <w:tcPr>
            <w:tcW w:w="3118" w:type="dxa"/>
            <w:tcBorders>
              <w:top w:val="single" w:sz="6" w:space="0" w:color="000000"/>
              <w:left w:val="single" w:sz="6" w:space="0" w:color="000000"/>
              <w:bottom w:val="single" w:sz="6" w:space="0" w:color="000000"/>
              <w:right w:val="single" w:sz="6" w:space="0" w:color="000000"/>
            </w:tcBorders>
          </w:tcPr>
          <w:p w14:paraId="63585CC8" w14:textId="77777777" w:rsidR="00DB27D7" w:rsidRPr="006E7B3F" w:rsidRDefault="00DB27D7" w:rsidP="008E67D5">
            <w:pPr>
              <w:pStyle w:val="naisc"/>
              <w:spacing w:before="0" w:after="0"/>
              <w:ind w:firstLine="720"/>
              <w:rPr>
                <w:sz w:val="22"/>
                <w:szCs w:val="22"/>
              </w:rPr>
            </w:pPr>
            <w:r w:rsidRPr="006E7B3F">
              <w:rPr>
                <w:sz w:val="22"/>
                <w:szCs w:val="22"/>
              </w:rPr>
              <w:t>3</w:t>
            </w:r>
          </w:p>
        </w:tc>
        <w:tc>
          <w:tcPr>
            <w:tcW w:w="2977" w:type="dxa"/>
            <w:tcBorders>
              <w:top w:val="single" w:sz="6" w:space="0" w:color="000000"/>
              <w:left w:val="single" w:sz="6" w:space="0" w:color="000000"/>
              <w:bottom w:val="single" w:sz="6" w:space="0" w:color="000000"/>
              <w:right w:val="single" w:sz="6" w:space="0" w:color="000000"/>
            </w:tcBorders>
          </w:tcPr>
          <w:p w14:paraId="4FEC6070" w14:textId="77777777" w:rsidR="00DB27D7" w:rsidRPr="006E7B3F" w:rsidRDefault="00DB27D7" w:rsidP="008E67D5">
            <w:pPr>
              <w:pStyle w:val="naisc"/>
              <w:spacing w:before="0" w:after="0"/>
              <w:ind w:firstLine="720"/>
              <w:rPr>
                <w:sz w:val="22"/>
                <w:szCs w:val="22"/>
              </w:rPr>
            </w:pPr>
            <w:r w:rsidRPr="006E7B3F">
              <w:rPr>
                <w:sz w:val="22"/>
                <w:szCs w:val="22"/>
              </w:rPr>
              <w:t>4</w:t>
            </w:r>
          </w:p>
        </w:tc>
        <w:tc>
          <w:tcPr>
            <w:tcW w:w="2861" w:type="dxa"/>
            <w:tcBorders>
              <w:top w:val="single" w:sz="4" w:space="0" w:color="auto"/>
              <w:left w:val="single" w:sz="4" w:space="0" w:color="auto"/>
              <w:bottom w:val="single" w:sz="4" w:space="0" w:color="auto"/>
              <w:right w:val="single" w:sz="4" w:space="0" w:color="auto"/>
            </w:tcBorders>
          </w:tcPr>
          <w:p w14:paraId="3A3C853A" w14:textId="77777777" w:rsidR="00DB27D7" w:rsidRPr="006E7B3F" w:rsidRDefault="00DB27D7" w:rsidP="008E67D5">
            <w:pPr>
              <w:jc w:val="center"/>
              <w:rPr>
                <w:sz w:val="22"/>
                <w:szCs w:val="22"/>
              </w:rPr>
            </w:pPr>
            <w:r w:rsidRPr="006E7B3F">
              <w:rPr>
                <w:sz w:val="22"/>
                <w:szCs w:val="22"/>
              </w:rPr>
              <w:t>5</w:t>
            </w:r>
          </w:p>
        </w:tc>
        <w:tc>
          <w:tcPr>
            <w:tcW w:w="1984" w:type="dxa"/>
            <w:tcBorders>
              <w:top w:val="single" w:sz="4" w:space="0" w:color="auto"/>
              <w:left w:val="single" w:sz="4" w:space="0" w:color="auto"/>
              <w:bottom w:val="single" w:sz="4" w:space="0" w:color="auto"/>
            </w:tcBorders>
          </w:tcPr>
          <w:p w14:paraId="3ECFC20F" w14:textId="77777777" w:rsidR="00DB27D7" w:rsidRPr="006E7B3F" w:rsidRDefault="00DB27D7" w:rsidP="008E67D5">
            <w:pPr>
              <w:jc w:val="center"/>
              <w:rPr>
                <w:sz w:val="22"/>
                <w:szCs w:val="22"/>
              </w:rPr>
            </w:pPr>
            <w:r w:rsidRPr="006E7B3F">
              <w:rPr>
                <w:sz w:val="22"/>
                <w:szCs w:val="22"/>
              </w:rPr>
              <w:t>6</w:t>
            </w:r>
          </w:p>
        </w:tc>
      </w:tr>
      <w:tr w:rsidR="00DB27D7" w:rsidRPr="006E7B3F" w14:paraId="261FF9B6" w14:textId="77777777" w:rsidTr="008E67D5">
        <w:tc>
          <w:tcPr>
            <w:tcW w:w="708" w:type="dxa"/>
            <w:tcBorders>
              <w:left w:val="single" w:sz="6" w:space="0" w:color="000000"/>
              <w:bottom w:val="single" w:sz="4" w:space="0" w:color="auto"/>
              <w:right w:val="single" w:sz="6" w:space="0" w:color="000000"/>
            </w:tcBorders>
          </w:tcPr>
          <w:p w14:paraId="1F55878A" w14:textId="77777777" w:rsidR="00DB27D7" w:rsidRPr="006E7B3F" w:rsidRDefault="00DB27D7" w:rsidP="008E67D5">
            <w:pPr>
              <w:pStyle w:val="naisc"/>
              <w:spacing w:before="0" w:after="0"/>
              <w:ind w:firstLine="720"/>
              <w:rPr>
                <w:sz w:val="22"/>
                <w:szCs w:val="22"/>
              </w:rPr>
            </w:pPr>
          </w:p>
        </w:tc>
        <w:tc>
          <w:tcPr>
            <w:tcW w:w="3086" w:type="dxa"/>
            <w:tcBorders>
              <w:left w:val="single" w:sz="6" w:space="0" w:color="000000"/>
              <w:bottom w:val="single" w:sz="4" w:space="0" w:color="auto"/>
              <w:right w:val="single" w:sz="6" w:space="0" w:color="000000"/>
            </w:tcBorders>
          </w:tcPr>
          <w:p w14:paraId="2F3D7933" w14:textId="77777777" w:rsidR="00DB27D7" w:rsidRPr="006E7B3F" w:rsidRDefault="00DB27D7" w:rsidP="0042495A">
            <w:pPr>
              <w:pStyle w:val="naisc"/>
              <w:spacing w:before="0" w:after="0"/>
              <w:ind w:firstLine="720"/>
              <w:jc w:val="left"/>
              <w:rPr>
                <w:sz w:val="22"/>
                <w:szCs w:val="22"/>
              </w:rPr>
            </w:pPr>
          </w:p>
        </w:tc>
        <w:tc>
          <w:tcPr>
            <w:tcW w:w="3118" w:type="dxa"/>
            <w:tcBorders>
              <w:left w:val="single" w:sz="6" w:space="0" w:color="000000"/>
              <w:bottom w:val="single" w:sz="4" w:space="0" w:color="auto"/>
              <w:right w:val="single" w:sz="6" w:space="0" w:color="000000"/>
            </w:tcBorders>
          </w:tcPr>
          <w:p w14:paraId="645F589D" w14:textId="77777777" w:rsidR="00DB27D7" w:rsidRPr="006E7B3F" w:rsidRDefault="00DB27D7" w:rsidP="008E67D5">
            <w:pPr>
              <w:pStyle w:val="naisc"/>
              <w:spacing w:before="0" w:after="0"/>
              <w:ind w:firstLine="720"/>
              <w:rPr>
                <w:sz w:val="22"/>
                <w:szCs w:val="22"/>
              </w:rPr>
            </w:pPr>
          </w:p>
        </w:tc>
        <w:tc>
          <w:tcPr>
            <w:tcW w:w="2977" w:type="dxa"/>
            <w:tcBorders>
              <w:left w:val="single" w:sz="6" w:space="0" w:color="000000"/>
              <w:bottom w:val="single" w:sz="4" w:space="0" w:color="auto"/>
              <w:right w:val="single" w:sz="6" w:space="0" w:color="000000"/>
            </w:tcBorders>
          </w:tcPr>
          <w:p w14:paraId="38D77CFE" w14:textId="77777777" w:rsidR="00DB27D7" w:rsidRPr="006E7B3F" w:rsidRDefault="00DB27D7" w:rsidP="008E67D5">
            <w:pPr>
              <w:pStyle w:val="naisc"/>
              <w:spacing w:before="0" w:after="0"/>
              <w:ind w:firstLine="720"/>
              <w:rPr>
                <w:sz w:val="22"/>
                <w:szCs w:val="22"/>
              </w:rPr>
            </w:pPr>
          </w:p>
        </w:tc>
        <w:tc>
          <w:tcPr>
            <w:tcW w:w="2861" w:type="dxa"/>
            <w:tcBorders>
              <w:top w:val="single" w:sz="4" w:space="0" w:color="auto"/>
              <w:left w:val="single" w:sz="4" w:space="0" w:color="auto"/>
              <w:bottom w:val="single" w:sz="4" w:space="0" w:color="auto"/>
              <w:right w:val="single" w:sz="4" w:space="0" w:color="auto"/>
            </w:tcBorders>
          </w:tcPr>
          <w:p w14:paraId="3DE2DCB6" w14:textId="77777777" w:rsidR="00DB27D7" w:rsidRPr="006E7B3F" w:rsidRDefault="00DB27D7" w:rsidP="008E67D5">
            <w:pPr>
              <w:rPr>
                <w:sz w:val="22"/>
                <w:szCs w:val="22"/>
              </w:rPr>
            </w:pPr>
          </w:p>
        </w:tc>
        <w:tc>
          <w:tcPr>
            <w:tcW w:w="1984" w:type="dxa"/>
            <w:tcBorders>
              <w:top w:val="single" w:sz="4" w:space="0" w:color="auto"/>
              <w:left w:val="single" w:sz="4" w:space="0" w:color="auto"/>
              <w:bottom w:val="single" w:sz="4" w:space="0" w:color="auto"/>
            </w:tcBorders>
          </w:tcPr>
          <w:p w14:paraId="433A140C" w14:textId="77777777" w:rsidR="00DB27D7" w:rsidRPr="006E7B3F" w:rsidRDefault="00DB27D7" w:rsidP="008E67D5">
            <w:pPr>
              <w:rPr>
                <w:sz w:val="22"/>
                <w:szCs w:val="22"/>
              </w:rPr>
            </w:pPr>
          </w:p>
        </w:tc>
      </w:tr>
      <w:tr w:rsidR="00DB27D7" w:rsidRPr="006E7B3F" w14:paraId="4A00F3AC" w14:textId="77777777" w:rsidTr="008E67D5">
        <w:tc>
          <w:tcPr>
            <w:tcW w:w="708" w:type="dxa"/>
            <w:tcBorders>
              <w:left w:val="single" w:sz="6" w:space="0" w:color="000000"/>
              <w:bottom w:val="single" w:sz="4" w:space="0" w:color="auto"/>
              <w:right w:val="single" w:sz="6" w:space="0" w:color="000000"/>
            </w:tcBorders>
          </w:tcPr>
          <w:p w14:paraId="33BB7D6E" w14:textId="77777777" w:rsidR="00DB27D7" w:rsidRPr="006E7B3F" w:rsidRDefault="00DB27D7" w:rsidP="008E67D5">
            <w:pPr>
              <w:pStyle w:val="naisc"/>
              <w:spacing w:before="0" w:after="0"/>
              <w:ind w:firstLine="720"/>
              <w:rPr>
                <w:sz w:val="22"/>
                <w:szCs w:val="22"/>
              </w:rPr>
            </w:pPr>
          </w:p>
        </w:tc>
        <w:tc>
          <w:tcPr>
            <w:tcW w:w="3086" w:type="dxa"/>
            <w:tcBorders>
              <w:left w:val="single" w:sz="6" w:space="0" w:color="000000"/>
              <w:bottom w:val="single" w:sz="4" w:space="0" w:color="auto"/>
              <w:right w:val="single" w:sz="6" w:space="0" w:color="000000"/>
            </w:tcBorders>
          </w:tcPr>
          <w:p w14:paraId="3AC7B549" w14:textId="77777777" w:rsidR="00DB27D7" w:rsidRPr="006E7B3F" w:rsidRDefault="00DB27D7" w:rsidP="008E67D5">
            <w:pPr>
              <w:pStyle w:val="naisc"/>
              <w:spacing w:before="0" w:after="0"/>
              <w:ind w:firstLine="720"/>
              <w:rPr>
                <w:sz w:val="22"/>
                <w:szCs w:val="22"/>
              </w:rPr>
            </w:pPr>
          </w:p>
        </w:tc>
        <w:tc>
          <w:tcPr>
            <w:tcW w:w="3118" w:type="dxa"/>
            <w:tcBorders>
              <w:left w:val="single" w:sz="6" w:space="0" w:color="000000"/>
              <w:bottom w:val="single" w:sz="4" w:space="0" w:color="auto"/>
              <w:right w:val="single" w:sz="6" w:space="0" w:color="000000"/>
            </w:tcBorders>
          </w:tcPr>
          <w:p w14:paraId="1A828092" w14:textId="77777777" w:rsidR="00DB27D7" w:rsidRPr="006E7B3F" w:rsidRDefault="00DB27D7" w:rsidP="008E67D5">
            <w:pPr>
              <w:pStyle w:val="naisc"/>
              <w:spacing w:before="0" w:after="0"/>
              <w:ind w:firstLine="720"/>
              <w:rPr>
                <w:sz w:val="22"/>
                <w:szCs w:val="22"/>
              </w:rPr>
            </w:pPr>
          </w:p>
        </w:tc>
        <w:tc>
          <w:tcPr>
            <w:tcW w:w="2977" w:type="dxa"/>
            <w:tcBorders>
              <w:left w:val="single" w:sz="6" w:space="0" w:color="000000"/>
              <w:bottom w:val="single" w:sz="4" w:space="0" w:color="auto"/>
              <w:right w:val="single" w:sz="6" w:space="0" w:color="000000"/>
            </w:tcBorders>
          </w:tcPr>
          <w:p w14:paraId="1B8B2CB8" w14:textId="77777777" w:rsidR="00DB27D7" w:rsidRPr="006E7B3F" w:rsidRDefault="00DB27D7" w:rsidP="008E67D5">
            <w:pPr>
              <w:pStyle w:val="naisc"/>
              <w:spacing w:before="0" w:after="0"/>
              <w:ind w:firstLine="720"/>
              <w:rPr>
                <w:sz w:val="22"/>
                <w:szCs w:val="22"/>
              </w:rPr>
            </w:pPr>
          </w:p>
        </w:tc>
        <w:tc>
          <w:tcPr>
            <w:tcW w:w="2861" w:type="dxa"/>
            <w:tcBorders>
              <w:top w:val="single" w:sz="4" w:space="0" w:color="auto"/>
              <w:left w:val="single" w:sz="4" w:space="0" w:color="auto"/>
              <w:bottom w:val="single" w:sz="4" w:space="0" w:color="auto"/>
              <w:right w:val="single" w:sz="4" w:space="0" w:color="auto"/>
            </w:tcBorders>
          </w:tcPr>
          <w:p w14:paraId="453F53DA" w14:textId="77777777" w:rsidR="00DB27D7" w:rsidRPr="006E7B3F" w:rsidRDefault="00DB27D7" w:rsidP="008E67D5">
            <w:pPr>
              <w:rPr>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980B733" w14:textId="77777777" w:rsidR="00DB27D7" w:rsidRPr="006E7B3F" w:rsidRDefault="00DB27D7" w:rsidP="008E67D5">
            <w:pPr>
              <w:rPr>
                <w:sz w:val="22"/>
                <w:szCs w:val="22"/>
              </w:rPr>
            </w:pPr>
          </w:p>
        </w:tc>
      </w:tr>
    </w:tbl>
    <w:p w14:paraId="2190E6A7" w14:textId="77777777" w:rsidR="00DB27D7" w:rsidRPr="006E7B3F" w:rsidRDefault="00DB27D7" w:rsidP="00DB27D7">
      <w:pPr>
        <w:pStyle w:val="naisf"/>
        <w:spacing w:before="0" w:after="0"/>
        <w:ind w:firstLine="0"/>
        <w:rPr>
          <w:sz w:val="22"/>
          <w:szCs w:val="22"/>
        </w:rPr>
      </w:pPr>
    </w:p>
    <w:p w14:paraId="4EED4DFD" w14:textId="77777777" w:rsidR="00DB27D7" w:rsidRPr="006E7B3F" w:rsidRDefault="00DB27D7" w:rsidP="00DB27D7">
      <w:pPr>
        <w:pStyle w:val="naisf"/>
        <w:spacing w:before="0" w:after="0"/>
        <w:ind w:firstLine="0"/>
        <w:rPr>
          <w:b/>
          <w:sz w:val="22"/>
          <w:szCs w:val="22"/>
        </w:rPr>
      </w:pPr>
      <w:r w:rsidRPr="006E7B3F">
        <w:rPr>
          <w:b/>
          <w:sz w:val="22"/>
          <w:szCs w:val="22"/>
        </w:rPr>
        <w:t xml:space="preserve">Informācija par </w:t>
      </w:r>
      <w:proofErr w:type="spellStart"/>
      <w:r w:rsidRPr="006E7B3F">
        <w:rPr>
          <w:b/>
          <w:sz w:val="22"/>
          <w:szCs w:val="22"/>
        </w:rPr>
        <w:t>starpministriju</w:t>
      </w:r>
      <w:proofErr w:type="spellEnd"/>
      <w:r w:rsidRPr="006E7B3F">
        <w:rPr>
          <w:b/>
          <w:sz w:val="22"/>
          <w:szCs w:val="22"/>
        </w:rPr>
        <w:t xml:space="preserve"> (starpinstitūciju) sanāksmi vai elektronisko saskaņošanu</w:t>
      </w:r>
    </w:p>
    <w:p w14:paraId="00D5BB08" w14:textId="77777777" w:rsidR="00DB27D7" w:rsidRPr="006E7B3F" w:rsidRDefault="00DB27D7" w:rsidP="00DB27D7">
      <w:pPr>
        <w:pStyle w:val="naisf"/>
        <w:spacing w:before="0" w:after="0"/>
        <w:ind w:firstLine="0"/>
        <w:rPr>
          <w:b/>
          <w:sz w:val="22"/>
          <w:szCs w:val="22"/>
        </w:rPr>
      </w:pPr>
    </w:p>
    <w:tbl>
      <w:tblPr>
        <w:tblW w:w="14742" w:type="dxa"/>
        <w:tblLook w:val="00A0" w:firstRow="1" w:lastRow="0" w:firstColumn="1" w:lastColumn="0" w:noHBand="0" w:noVBand="0"/>
      </w:tblPr>
      <w:tblGrid>
        <w:gridCol w:w="6345"/>
        <w:gridCol w:w="1203"/>
        <w:gridCol w:w="7194"/>
      </w:tblGrid>
      <w:tr w:rsidR="00DB27D7" w:rsidRPr="006E7B3F" w14:paraId="1C34C231" w14:textId="77777777" w:rsidTr="008E67D5">
        <w:tc>
          <w:tcPr>
            <w:tcW w:w="6345" w:type="dxa"/>
          </w:tcPr>
          <w:p w14:paraId="2274C666" w14:textId="77777777" w:rsidR="00DB27D7" w:rsidRPr="006E7B3F" w:rsidRDefault="00DB27D7" w:rsidP="008E67D5">
            <w:pPr>
              <w:pStyle w:val="naisf"/>
              <w:spacing w:before="0" w:after="0"/>
              <w:ind w:firstLine="0"/>
              <w:rPr>
                <w:sz w:val="22"/>
                <w:szCs w:val="22"/>
              </w:rPr>
            </w:pPr>
            <w:r w:rsidRPr="006E7B3F">
              <w:rPr>
                <w:sz w:val="22"/>
                <w:szCs w:val="22"/>
              </w:rPr>
              <w:t>Datums</w:t>
            </w:r>
          </w:p>
        </w:tc>
        <w:tc>
          <w:tcPr>
            <w:tcW w:w="8397" w:type="dxa"/>
            <w:gridSpan w:val="2"/>
            <w:tcBorders>
              <w:bottom w:val="single" w:sz="4" w:space="0" w:color="auto"/>
            </w:tcBorders>
          </w:tcPr>
          <w:p w14:paraId="74EBFC23" w14:textId="559D3DCE" w:rsidR="00DB27D7" w:rsidRPr="006E7B3F" w:rsidRDefault="00680022" w:rsidP="007B31AE">
            <w:pPr>
              <w:pStyle w:val="NormalWeb"/>
              <w:spacing w:before="0" w:beforeAutospacing="0" w:after="0" w:afterAutospacing="0"/>
              <w:ind w:firstLine="720"/>
              <w:rPr>
                <w:sz w:val="22"/>
                <w:szCs w:val="22"/>
              </w:rPr>
            </w:pPr>
            <w:r w:rsidRPr="006E7B3F">
              <w:rPr>
                <w:b/>
                <w:sz w:val="22"/>
                <w:szCs w:val="22"/>
              </w:rPr>
              <w:t>2019. gada</w:t>
            </w:r>
            <w:r w:rsidR="00E22D5A">
              <w:rPr>
                <w:b/>
                <w:sz w:val="22"/>
                <w:szCs w:val="22"/>
              </w:rPr>
              <w:t xml:space="preserve"> 14</w:t>
            </w:r>
            <w:r w:rsidR="00356C37" w:rsidRPr="006E7B3F">
              <w:rPr>
                <w:b/>
                <w:sz w:val="22"/>
                <w:szCs w:val="22"/>
              </w:rPr>
              <w:t>.</w:t>
            </w:r>
            <w:r w:rsidR="007B31AE" w:rsidRPr="006E7B3F">
              <w:rPr>
                <w:b/>
                <w:sz w:val="22"/>
                <w:szCs w:val="22"/>
              </w:rPr>
              <w:t>novembrī</w:t>
            </w:r>
            <w:r w:rsidR="00DB27D7" w:rsidRPr="006E7B3F">
              <w:rPr>
                <w:sz w:val="22"/>
                <w:szCs w:val="22"/>
              </w:rPr>
              <w:t xml:space="preserve"> (</w:t>
            </w:r>
            <w:r w:rsidR="007B31AE" w:rsidRPr="006E7B3F">
              <w:rPr>
                <w:sz w:val="22"/>
                <w:szCs w:val="22"/>
              </w:rPr>
              <w:t>starpinstitūciju sanāksme</w:t>
            </w:r>
            <w:r w:rsidR="00DB27D7" w:rsidRPr="006E7B3F">
              <w:rPr>
                <w:sz w:val="22"/>
                <w:szCs w:val="22"/>
              </w:rPr>
              <w:t>)</w:t>
            </w:r>
          </w:p>
        </w:tc>
      </w:tr>
      <w:tr w:rsidR="00DB27D7" w:rsidRPr="006E7B3F" w14:paraId="4A9CE967" w14:textId="77777777" w:rsidTr="008E67D5">
        <w:tc>
          <w:tcPr>
            <w:tcW w:w="6345" w:type="dxa"/>
          </w:tcPr>
          <w:p w14:paraId="2F0A8A39" w14:textId="77777777" w:rsidR="00DB27D7" w:rsidRPr="006E7B3F" w:rsidRDefault="00DB27D7" w:rsidP="008E67D5">
            <w:pPr>
              <w:pStyle w:val="naisf"/>
              <w:spacing w:before="0" w:after="0"/>
              <w:ind w:firstLine="0"/>
              <w:rPr>
                <w:sz w:val="22"/>
                <w:szCs w:val="22"/>
              </w:rPr>
            </w:pPr>
          </w:p>
        </w:tc>
        <w:tc>
          <w:tcPr>
            <w:tcW w:w="8397" w:type="dxa"/>
            <w:gridSpan w:val="2"/>
            <w:tcBorders>
              <w:top w:val="single" w:sz="4" w:space="0" w:color="auto"/>
            </w:tcBorders>
          </w:tcPr>
          <w:p w14:paraId="42657DEE" w14:textId="77777777" w:rsidR="00DB27D7" w:rsidRPr="006E7B3F" w:rsidRDefault="00DB27D7" w:rsidP="008E67D5">
            <w:pPr>
              <w:pStyle w:val="NormalWeb"/>
              <w:spacing w:before="0" w:beforeAutospacing="0" w:after="0" w:afterAutospacing="0"/>
              <w:ind w:firstLine="720"/>
              <w:rPr>
                <w:sz w:val="22"/>
                <w:szCs w:val="22"/>
              </w:rPr>
            </w:pPr>
          </w:p>
        </w:tc>
      </w:tr>
      <w:tr w:rsidR="00DB27D7" w:rsidRPr="006E7B3F" w14:paraId="6B98BB8F" w14:textId="77777777" w:rsidTr="00B47869">
        <w:trPr>
          <w:trHeight w:val="1138"/>
        </w:trPr>
        <w:tc>
          <w:tcPr>
            <w:tcW w:w="6345" w:type="dxa"/>
          </w:tcPr>
          <w:p w14:paraId="00B2FB60" w14:textId="77777777" w:rsidR="00DB27D7" w:rsidRPr="006E7B3F" w:rsidRDefault="00DB27D7" w:rsidP="008E67D5">
            <w:pPr>
              <w:pStyle w:val="naiskr"/>
              <w:spacing w:before="0" w:after="0"/>
              <w:rPr>
                <w:sz w:val="22"/>
                <w:szCs w:val="22"/>
              </w:rPr>
            </w:pPr>
            <w:r w:rsidRPr="006E7B3F">
              <w:rPr>
                <w:sz w:val="22"/>
                <w:szCs w:val="22"/>
              </w:rPr>
              <w:t>Saskaņošanas dalībnieki</w:t>
            </w:r>
          </w:p>
        </w:tc>
        <w:tc>
          <w:tcPr>
            <w:tcW w:w="8397" w:type="dxa"/>
            <w:gridSpan w:val="2"/>
          </w:tcPr>
          <w:p w14:paraId="6D623504" w14:textId="14AB08A9" w:rsidR="00B44BA6" w:rsidRPr="00756EC7" w:rsidRDefault="00B47869" w:rsidP="00756EC7">
            <w:pPr>
              <w:tabs>
                <w:tab w:val="left" w:pos="6804"/>
              </w:tabs>
              <w:jc w:val="both"/>
              <w:rPr>
                <w:color w:val="2A2A2A"/>
                <w:sz w:val="22"/>
                <w:szCs w:val="22"/>
              </w:rPr>
            </w:pPr>
            <w:r w:rsidRPr="006E7B3F">
              <w:rPr>
                <w:sz w:val="22"/>
                <w:szCs w:val="22"/>
              </w:rPr>
              <w:t xml:space="preserve">Ekonomikas ministrija, </w:t>
            </w:r>
            <w:r w:rsidR="00DB27D7" w:rsidRPr="006E7B3F">
              <w:rPr>
                <w:sz w:val="22"/>
                <w:szCs w:val="22"/>
              </w:rPr>
              <w:t xml:space="preserve">Finanšu ministrija, </w:t>
            </w:r>
            <w:r w:rsidRPr="006E7B3F">
              <w:rPr>
                <w:sz w:val="22"/>
                <w:szCs w:val="22"/>
              </w:rPr>
              <w:t xml:space="preserve">Kultūras ministrija, </w:t>
            </w:r>
            <w:proofErr w:type="spellStart"/>
            <w:r w:rsidRPr="006E7B3F">
              <w:rPr>
                <w:sz w:val="22"/>
                <w:szCs w:val="22"/>
              </w:rPr>
              <w:t>Iekšlietu</w:t>
            </w:r>
            <w:proofErr w:type="spellEnd"/>
            <w:r w:rsidRPr="006E7B3F">
              <w:rPr>
                <w:sz w:val="22"/>
                <w:szCs w:val="22"/>
              </w:rPr>
              <w:t xml:space="preserve"> ministrija, Izglītības zinātnes ministrija, Labklājības ministrija</w:t>
            </w:r>
            <w:r w:rsidR="00DB27D7" w:rsidRPr="006E7B3F">
              <w:rPr>
                <w:sz w:val="22"/>
                <w:szCs w:val="22"/>
              </w:rPr>
              <w:t>,</w:t>
            </w:r>
            <w:r w:rsidR="00680022" w:rsidRPr="006E7B3F">
              <w:rPr>
                <w:sz w:val="22"/>
                <w:szCs w:val="22"/>
              </w:rPr>
              <w:t xml:space="preserve"> Satiksmes ministrija,</w:t>
            </w:r>
            <w:r w:rsidRPr="006E7B3F">
              <w:rPr>
                <w:sz w:val="22"/>
                <w:szCs w:val="22"/>
              </w:rPr>
              <w:t xml:space="preserve"> Tieslietu ministrija,</w:t>
            </w:r>
            <w:r w:rsidR="00DF734B">
              <w:rPr>
                <w:sz w:val="22"/>
                <w:szCs w:val="22"/>
              </w:rPr>
              <w:t xml:space="preserve"> Ves</w:t>
            </w:r>
            <w:bookmarkStart w:id="0" w:name="_GoBack"/>
            <w:bookmarkEnd w:id="0"/>
            <w:r w:rsidR="00DF734B">
              <w:rPr>
                <w:sz w:val="22"/>
                <w:szCs w:val="22"/>
              </w:rPr>
              <w:t>elības ministrija,</w:t>
            </w:r>
            <w:r w:rsidRPr="006E7B3F">
              <w:rPr>
                <w:sz w:val="22"/>
                <w:szCs w:val="22"/>
              </w:rPr>
              <w:t xml:space="preserve"> Zemkopības ministrija, </w:t>
            </w:r>
            <w:proofErr w:type="spellStart"/>
            <w:r w:rsidRPr="006E7B3F">
              <w:rPr>
                <w:sz w:val="22"/>
                <w:szCs w:val="22"/>
              </w:rPr>
              <w:t>Pārresoru</w:t>
            </w:r>
            <w:proofErr w:type="spellEnd"/>
            <w:r w:rsidRPr="006E7B3F">
              <w:rPr>
                <w:sz w:val="22"/>
                <w:szCs w:val="22"/>
              </w:rPr>
              <w:t xml:space="preserve"> Koordinācijas centrs, Valsts kanceleja, Latvijas Brīvo arodbiedrību savienība</w:t>
            </w:r>
            <w:r w:rsidR="00B44BA6" w:rsidRPr="006E7B3F">
              <w:rPr>
                <w:sz w:val="22"/>
                <w:szCs w:val="22"/>
              </w:rPr>
              <w:t>,</w:t>
            </w:r>
            <w:r w:rsidRPr="006E7B3F">
              <w:rPr>
                <w:sz w:val="22"/>
                <w:szCs w:val="22"/>
              </w:rPr>
              <w:t xml:space="preserve"> </w:t>
            </w:r>
            <w:r w:rsidR="00680022" w:rsidRPr="006E7B3F">
              <w:rPr>
                <w:sz w:val="22"/>
                <w:szCs w:val="22"/>
              </w:rPr>
              <w:t>Latvijas Pašvaldību savienība,</w:t>
            </w:r>
            <w:r w:rsidR="00B44BA6" w:rsidRPr="006E7B3F">
              <w:rPr>
                <w:sz w:val="22"/>
                <w:szCs w:val="22"/>
              </w:rPr>
              <w:t xml:space="preserve"> Latvijas Lielo pilsētu asociācija</w:t>
            </w:r>
            <w:r w:rsidRPr="004A0037">
              <w:rPr>
                <w:sz w:val="22"/>
                <w:szCs w:val="22"/>
              </w:rPr>
              <w:t xml:space="preserve">, Kurzemes plānošanas reģions, Latgales plānošanas reģions, Vidzemes plānošanas reģions, Zemgales plānošanas reģions, Rīgas plānošanas reģions, </w:t>
            </w:r>
            <w:r w:rsidR="00756EC7" w:rsidRPr="004A0037">
              <w:rPr>
                <w:sz w:val="22"/>
                <w:szCs w:val="22"/>
              </w:rPr>
              <w:t>b</w:t>
            </w:r>
            <w:r w:rsidRPr="004A0037">
              <w:rPr>
                <w:sz w:val="22"/>
                <w:szCs w:val="22"/>
              </w:rPr>
              <w:t>iedrība "Reģionālo attīstības centru apvienība"</w:t>
            </w:r>
          </w:p>
        </w:tc>
      </w:tr>
      <w:tr w:rsidR="00DB27D7" w:rsidRPr="006E7B3F" w14:paraId="711D4FC3" w14:textId="77777777" w:rsidTr="008E67D5">
        <w:tc>
          <w:tcPr>
            <w:tcW w:w="6345" w:type="dxa"/>
          </w:tcPr>
          <w:p w14:paraId="5D6051E9" w14:textId="77777777" w:rsidR="00DB27D7" w:rsidRPr="006E7B3F" w:rsidRDefault="00DB27D7" w:rsidP="008E67D5">
            <w:pPr>
              <w:pStyle w:val="naiskr"/>
              <w:spacing w:before="0" w:after="0"/>
              <w:ind w:firstLine="720"/>
              <w:rPr>
                <w:sz w:val="22"/>
                <w:szCs w:val="22"/>
              </w:rPr>
            </w:pPr>
            <w:r w:rsidRPr="006E7B3F">
              <w:rPr>
                <w:sz w:val="22"/>
                <w:szCs w:val="22"/>
              </w:rPr>
              <w:t>  </w:t>
            </w:r>
          </w:p>
        </w:tc>
        <w:tc>
          <w:tcPr>
            <w:tcW w:w="8397" w:type="dxa"/>
            <w:gridSpan w:val="2"/>
            <w:tcBorders>
              <w:top w:val="single" w:sz="6" w:space="0" w:color="000000"/>
              <w:bottom w:val="single" w:sz="6" w:space="0" w:color="000000"/>
            </w:tcBorders>
          </w:tcPr>
          <w:p w14:paraId="53334650" w14:textId="77777777" w:rsidR="00DB27D7" w:rsidRPr="006E7B3F" w:rsidRDefault="00DB27D7" w:rsidP="00680022">
            <w:pPr>
              <w:tabs>
                <w:tab w:val="left" w:pos="6804"/>
              </w:tabs>
              <w:jc w:val="both"/>
              <w:rPr>
                <w:sz w:val="22"/>
                <w:szCs w:val="22"/>
              </w:rPr>
            </w:pPr>
          </w:p>
        </w:tc>
      </w:tr>
      <w:tr w:rsidR="00DB27D7" w:rsidRPr="006E7B3F" w14:paraId="27B2E6AF" w14:textId="77777777" w:rsidTr="008E67D5">
        <w:trPr>
          <w:trHeight w:val="285"/>
        </w:trPr>
        <w:tc>
          <w:tcPr>
            <w:tcW w:w="6345" w:type="dxa"/>
          </w:tcPr>
          <w:p w14:paraId="0C89F0D7" w14:textId="77777777" w:rsidR="00DB27D7" w:rsidRPr="006E7B3F" w:rsidRDefault="00DB27D7" w:rsidP="008E67D5">
            <w:pPr>
              <w:pStyle w:val="naiskr"/>
              <w:spacing w:before="0" w:after="0"/>
              <w:rPr>
                <w:sz w:val="22"/>
                <w:szCs w:val="22"/>
              </w:rPr>
            </w:pPr>
          </w:p>
        </w:tc>
        <w:tc>
          <w:tcPr>
            <w:tcW w:w="1203" w:type="dxa"/>
          </w:tcPr>
          <w:p w14:paraId="22E92B78" w14:textId="77777777" w:rsidR="00DB27D7" w:rsidRPr="006E7B3F" w:rsidRDefault="00DB27D7" w:rsidP="008E67D5">
            <w:pPr>
              <w:pStyle w:val="naiskr"/>
              <w:spacing w:before="0" w:after="0"/>
              <w:ind w:firstLine="720"/>
              <w:rPr>
                <w:sz w:val="22"/>
                <w:szCs w:val="22"/>
              </w:rPr>
            </w:pPr>
          </w:p>
        </w:tc>
        <w:tc>
          <w:tcPr>
            <w:tcW w:w="7194" w:type="dxa"/>
          </w:tcPr>
          <w:p w14:paraId="66355962" w14:textId="77777777" w:rsidR="00DB27D7" w:rsidRPr="006E7B3F" w:rsidRDefault="00DB27D7" w:rsidP="008E67D5">
            <w:pPr>
              <w:pStyle w:val="naiskr"/>
              <w:spacing w:before="0" w:after="0"/>
              <w:ind w:firstLine="12"/>
              <w:rPr>
                <w:sz w:val="22"/>
                <w:szCs w:val="22"/>
              </w:rPr>
            </w:pPr>
          </w:p>
        </w:tc>
      </w:tr>
      <w:tr w:rsidR="00DB27D7" w:rsidRPr="006E7B3F" w14:paraId="7897EA8A" w14:textId="77777777" w:rsidTr="008E67D5">
        <w:trPr>
          <w:trHeight w:val="285"/>
        </w:trPr>
        <w:tc>
          <w:tcPr>
            <w:tcW w:w="6345" w:type="dxa"/>
          </w:tcPr>
          <w:p w14:paraId="15489880" w14:textId="77777777" w:rsidR="00DB27D7" w:rsidRPr="006E7B3F" w:rsidRDefault="00DB27D7" w:rsidP="008E67D5">
            <w:pPr>
              <w:pStyle w:val="naiskr"/>
              <w:spacing w:before="0" w:after="0"/>
              <w:rPr>
                <w:sz w:val="22"/>
                <w:szCs w:val="22"/>
              </w:rPr>
            </w:pPr>
            <w:r w:rsidRPr="006E7B3F">
              <w:rPr>
                <w:sz w:val="22"/>
                <w:szCs w:val="22"/>
              </w:rPr>
              <w:br w:type="page"/>
              <w:t>Saskaņošanas dalībnieki izskatīja šādu ministriju (citu institūciju) iebildumus</w:t>
            </w:r>
          </w:p>
        </w:tc>
        <w:tc>
          <w:tcPr>
            <w:tcW w:w="1203" w:type="dxa"/>
          </w:tcPr>
          <w:p w14:paraId="1D0F2092" w14:textId="77777777" w:rsidR="00DB27D7" w:rsidRPr="006E7B3F" w:rsidRDefault="00DB27D7" w:rsidP="008E67D5">
            <w:pPr>
              <w:pStyle w:val="naiskr"/>
              <w:spacing w:before="0" w:after="0"/>
              <w:ind w:right="167" w:hanging="214"/>
              <w:rPr>
                <w:sz w:val="22"/>
                <w:szCs w:val="22"/>
              </w:rPr>
            </w:pPr>
          </w:p>
        </w:tc>
        <w:tc>
          <w:tcPr>
            <w:tcW w:w="7194" w:type="dxa"/>
          </w:tcPr>
          <w:p w14:paraId="6861521C" w14:textId="54416E2E" w:rsidR="00DB27D7" w:rsidRPr="006E7B3F" w:rsidRDefault="00E22D5A" w:rsidP="00E22D5A">
            <w:pPr>
              <w:tabs>
                <w:tab w:val="left" w:pos="6804"/>
              </w:tabs>
              <w:jc w:val="both"/>
              <w:rPr>
                <w:sz w:val="22"/>
                <w:szCs w:val="22"/>
              </w:rPr>
            </w:pPr>
            <w:r w:rsidRPr="006E7B3F">
              <w:rPr>
                <w:sz w:val="22"/>
                <w:szCs w:val="22"/>
              </w:rPr>
              <w:t xml:space="preserve">Ekonomikas ministrija, Finanšu ministrija, Labklājības ministrija, </w:t>
            </w:r>
            <w:r>
              <w:rPr>
                <w:sz w:val="22"/>
                <w:szCs w:val="22"/>
              </w:rPr>
              <w:t>Tieslietu ministrija</w:t>
            </w:r>
            <w:r w:rsidRPr="006E7B3F">
              <w:rPr>
                <w:sz w:val="22"/>
                <w:szCs w:val="22"/>
              </w:rPr>
              <w:t xml:space="preserve">, </w:t>
            </w:r>
            <w:r w:rsidR="00756EC7">
              <w:rPr>
                <w:sz w:val="22"/>
                <w:szCs w:val="22"/>
              </w:rPr>
              <w:t xml:space="preserve">Veselības ministrija, </w:t>
            </w:r>
            <w:r w:rsidRPr="006E7B3F">
              <w:rPr>
                <w:sz w:val="22"/>
                <w:szCs w:val="22"/>
              </w:rPr>
              <w:t>Latvijas Pašvaldību savienība, Latvijas Lielo pilsētu asociācija</w:t>
            </w:r>
          </w:p>
        </w:tc>
      </w:tr>
      <w:tr w:rsidR="00DB27D7" w:rsidRPr="006E7B3F" w14:paraId="607D994A" w14:textId="77777777" w:rsidTr="008E67D5">
        <w:trPr>
          <w:trHeight w:val="465"/>
        </w:trPr>
        <w:tc>
          <w:tcPr>
            <w:tcW w:w="6345" w:type="dxa"/>
          </w:tcPr>
          <w:p w14:paraId="770D9F53" w14:textId="77777777" w:rsidR="00DB27D7" w:rsidRPr="006E7B3F" w:rsidRDefault="00DB27D7" w:rsidP="008E67D5">
            <w:pPr>
              <w:pStyle w:val="naiskr"/>
              <w:spacing w:before="0" w:after="0"/>
              <w:ind w:firstLine="720"/>
              <w:rPr>
                <w:sz w:val="22"/>
                <w:szCs w:val="22"/>
              </w:rPr>
            </w:pPr>
            <w:r w:rsidRPr="006E7B3F">
              <w:rPr>
                <w:sz w:val="22"/>
                <w:szCs w:val="22"/>
              </w:rPr>
              <w:t>  </w:t>
            </w:r>
          </w:p>
        </w:tc>
        <w:tc>
          <w:tcPr>
            <w:tcW w:w="8397" w:type="dxa"/>
            <w:gridSpan w:val="2"/>
            <w:tcBorders>
              <w:top w:val="single" w:sz="6" w:space="0" w:color="000000"/>
              <w:bottom w:val="single" w:sz="6" w:space="0" w:color="000000"/>
            </w:tcBorders>
          </w:tcPr>
          <w:p w14:paraId="60A62245" w14:textId="77777777" w:rsidR="00DB27D7" w:rsidRPr="006E7B3F" w:rsidRDefault="00DB27D7" w:rsidP="008E67D5">
            <w:pPr>
              <w:pStyle w:val="NormalWeb"/>
              <w:spacing w:before="0" w:beforeAutospacing="0" w:after="0" w:afterAutospacing="0"/>
              <w:rPr>
                <w:sz w:val="22"/>
                <w:szCs w:val="22"/>
              </w:rPr>
            </w:pPr>
          </w:p>
        </w:tc>
      </w:tr>
      <w:tr w:rsidR="00DB27D7" w:rsidRPr="006E7B3F" w14:paraId="01FA1BD4" w14:textId="77777777" w:rsidTr="008E67D5">
        <w:tc>
          <w:tcPr>
            <w:tcW w:w="6345" w:type="dxa"/>
          </w:tcPr>
          <w:p w14:paraId="239A5911" w14:textId="77777777" w:rsidR="00DB27D7" w:rsidRPr="006E7B3F" w:rsidRDefault="00DB27D7" w:rsidP="008E67D5">
            <w:pPr>
              <w:pStyle w:val="naiskr"/>
              <w:spacing w:before="0" w:after="0"/>
              <w:rPr>
                <w:sz w:val="22"/>
                <w:szCs w:val="22"/>
              </w:rPr>
            </w:pPr>
            <w:r w:rsidRPr="006E7B3F">
              <w:rPr>
                <w:sz w:val="22"/>
                <w:szCs w:val="22"/>
              </w:rPr>
              <w:lastRenderedPageBreak/>
              <w:t>Ministrijas (citas institūcijas), kuras nav ieradušās uz sanāksmi vai kuras nav atbildējušas uz uzaicinājumu piedalīties elektroniskajā saskaņošanā</w:t>
            </w:r>
          </w:p>
        </w:tc>
        <w:tc>
          <w:tcPr>
            <w:tcW w:w="8397" w:type="dxa"/>
            <w:gridSpan w:val="2"/>
          </w:tcPr>
          <w:p w14:paraId="735794F3" w14:textId="77777777" w:rsidR="00DB27D7" w:rsidRPr="006E7B3F" w:rsidRDefault="00DB27D7" w:rsidP="008E67D5">
            <w:pPr>
              <w:pStyle w:val="naiskr"/>
              <w:spacing w:before="0" w:after="0"/>
              <w:ind w:firstLine="720"/>
              <w:rPr>
                <w:sz w:val="22"/>
                <w:szCs w:val="22"/>
              </w:rPr>
            </w:pPr>
          </w:p>
        </w:tc>
      </w:tr>
      <w:tr w:rsidR="00DB27D7" w:rsidRPr="006E7B3F" w14:paraId="0F142460" w14:textId="77777777" w:rsidTr="008E67D5">
        <w:tc>
          <w:tcPr>
            <w:tcW w:w="6345" w:type="dxa"/>
          </w:tcPr>
          <w:p w14:paraId="730A36B4" w14:textId="77777777" w:rsidR="00DB27D7" w:rsidRPr="006E7B3F" w:rsidRDefault="00DB27D7" w:rsidP="008E67D5">
            <w:pPr>
              <w:pStyle w:val="naiskr"/>
              <w:spacing w:before="0" w:after="0"/>
              <w:ind w:firstLine="720"/>
              <w:rPr>
                <w:sz w:val="22"/>
                <w:szCs w:val="22"/>
              </w:rPr>
            </w:pPr>
            <w:r w:rsidRPr="006E7B3F">
              <w:rPr>
                <w:sz w:val="22"/>
                <w:szCs w:val="22"/>
              </w:rPr>
              <w:t>  </w:t>
            </w:r>
          </w:p>
        </w:tc>
        <w:tc>
          <w:tcPr>
            <w:tcW w:w="8397" w:type="dxa"/>
            <w:gridSpan w:val="2"/>
            <w:tcBorders>
              <w:top w:val="single" w:sz="6" w:space="0" w:color="000000"/>
              <w:bottom w:val="single" w:sz="6" w:space="0" w:color="000000"/>
            </w:tcBorders>
          </w:tcPr>
          <w:p w14:paraId="69E19B6A" w14:textId="77777777" w:rsidR="00DB27D7" w:rsidRPr="006E7B3F" w:rsidRDefault="00DB27D7" w:rsidP="008E67D5">
            <w:pPr>
              <w:pStyle w:val="naiskr"/>
              <w:spacing w:before="0" w:after="0"/>
              <w:ind w:firstLine="720"/>
              <w:rPr>
                <w:sz w:val="22"/>
                <w:szCs w:val="22"/>
              </w:rPr>
            </w:pPr>
          </w:p>
        </w:tc>
      </w:tr>
      <w:tr w:rsidR="00870063" w:rsidRPr="006E7B3F" w14:paraId="1E5AA011" w14:textId="77777777" w:rsidTr="008E67D5">
        <w:trPr>
          <w:gridAfter w:val="2"/>
          <w:wAfter w:w="8397" w:type="dxa"/>
        </w:trPr>
        <w:tc>
          <w:tcPr>
            <w:tcW w:w="6345" w:type="dxa"/>
          </w:tcPr>
          <w:p w14:paraId="12C43BD0" w14:textId="463ACF70" w:rsidR="00870063" w:rsidRPr="006E7B3F" w:rsidRDefault="00870063" w:rsidP="008C3A8F">
            <w:pPr>
              <w:pStyle w:val="naiskr"/>
              <w:spacing w:before="0" w:after="0"/>
              <w:rPr>
                <w:sz w:val="22"/>
                <w:szCs w:val="22"/>
              </w:rPr>
            </w:pPr>
          </w:p>
        </w:tc>
      </w:tr>
    </w:tbl>
    <w:p w14:paraId="50291D26" w14:textId="77777777" w:rsidR="00DB27D7" w:rsidRPr="006E7B3F" w:rsidRDefault="00DB27D7" w:rsidP="00DB27D7">
      <w:pPr>
        <w:pStyle w:val="naisf"/>
        <w:spacing w:before="0" w:after="0"/>
        <w:ind w:firstLine="0"/>
        <w:jc w:val="center"/>
        <w:rPr>
          <w:b/>
          <w:sz w:val="22"/>
          <w:szCs w:val="22"/>
        </w:rPr>
      </w:pPr>
      <w:r w:rsidRPr="006E7B3F">
        <w:rPr>
          <w:b/>
          <w:sz w:val="22"/>
          <w:szCs w:val="22"/>
        </w:rPr>
        <w:t>II. Jautājumi, par kuriem saskaņošanā vienošanās ir panākta</w:t>
      </w:r>
    </w:p>
    <w:p w14:paraId="54502786" w14:textId="77777777" w:rsidR="00DB27D7" w:rsidRPr="006E7B3F" w:rsidRDefault="00DB27D7" w:rsidP="00DB27D7">
      <w:pPr>
        <w:pStyle w:val="naisf"/>
        <w:spacing w:before="0" w:after="0"/>
        <w:ind w:firstLine="0"/>
        <w:jc w:val="center"/>
        <w:rPr>
          <w:b/>
          <w:sz w:val="22"/>
          <w:szCs w:val="22"/>
        </w:rPr>
      </w:pPr>
    </w:p>
    <w:tbl>
      <w:tblPr>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5"/>
        <w:gridCol w:w="2123"/>
        <w:gridCol w:w="1140"/>
        <w:gridCol w:w="4536"/>
        <w:gridCol w:w="503"/>
        <w:gridCol w:w="2048"/>
        <w:gridCol w:w="3650"/>
      </w:tblGrid>
      <w:tr w:rsidR="00DB27D7" w:rsidRPr="006E7B3F" w14:paraId="56914348" w14:textId="77777777" w:rsidTr="00ED12D2">
        <w:tc>
          <w:tcPr>
            <w:tcW w:w="985" w:type="dxa"/>
            <w:vAlign w:val="center"/>
          </w:tcPr>
          <w:p w14:paraId="22092F06" w14:textId="77777777" w:rsidR="00DB27D7" w:rsidRPr="006E7B3F" w:rsidRDefault="00DB27D7" w:rsidP="00BD6681">
            <w:pPr>
              <w:pStyle w:val="naisc"/>
              <w:spacing w:before="0" w:after="0"/>
              <w:jc w:val="both"/>
              <w:rPr>
                <w:sz w:val="22"/>
                <w:szCs w:val="22"/>
              </w:rPr>
            </w:pPr>
            <w:r w:rsidRPr="006E7B3F">
              <w:rPr>
                <w:sz w:val="22"/>
                <w:szCs w:val="22"/>
              </w:rPr>
              <w:t>Nr. p. k.</w:t>
            </w:r>
          </w:p>
        </w:tc>
        <w:tc>
          <w:tcPr>
            <w:tcW w:w="3263" w:type="dxa"/>
            <w:gridSpan w:val="2"/>
            <w:vAlign w:val="center"/>
          </w:tcPr>
          <w:p w14:paraId="555DCFDF" w14:textId="77777777" w:rsidR="00DB27D7" w:rsidRPr="006E7B3F" w:rsidRDefault="00DB27D7" w:rsidP="00BD6681">
            <w:pPr>
              <w:pStyle w:val="naisc"/>
              <w:spacing w:before="0" w:after="0"/>
              <w:ind w:firstLine="12"/>
              <w:jc w:val="both"/>
              <w:rPr>
                <w:sz w:val="22"/>
                <w:szCs w:val="22"/>
              </w:rPr>
            </w:pPr>
            <w:r w:rsidRPr="006E7B3F">
              <w:rPr>
                <w:sz w:val="22"/>
                <w:szCs w:val="22"/>
              </w:rPr>
              <w:t>Saskaņošanai nosūtītā projekta redakcija (konkrēta punkta (panta) redakcija)</w:t>
            </w:r>
          </w:p>
        </w:tc>
        <w:tc>
          <w:tcPr>
            <w:tcW w:w="4536" w:type="dxa"/>
            <w:vAlign w:val="center"/>
          </w:tcPr>
          <w:p w14:paraId="0AFC7DEC" w14:textId="77777777" w:rsidR="00DB27D7" w:rsidRPr="006E7B3F" w:rsidRDefault="00DB27D7" w:rsidP="00BD6681">
            <w:pPr>
              <w:pStyle w:val="naisc"/>
              <w:spacing w:before="0" w:after="0"/>
              <w:ind w:right="3"/>
              <w:jc w:val="both"/>
              <w:rPr>
                <w:sz w:val="22"/>
                <w:szCs w:val="22"/>
              </w:rPr>
            </w:pPr>
            <w:r w:rsidRPr="006E7B3F">
              <w:rPr>
                <w:sz w:val="22"/>
                <w:szCs w:val="22"/>
              </w:rPr>
              <w:t>Atzinumā norādītais ministrijas (citas institūcijas) iebildums, kā arī saskaņošanā papildus izteiktais iebildums par projekta konkrēto punktu (pantu)</w:t>
            </w:r>
          </w:p>
        </w:tc>
        <w:tc>
          <w:tcPr>
            <w:tcW w:w="2551" w:type="dxa"/>
            <w:gridSpan w:val="2"/>
            <w:vAlign w:val="center"/>
          </w:tcPr>
          <w:p w14:paraId="13778D65" w14:textId="77777777" w:rsidR="00DB27D7" w:rsidRPr="006E7B3F" w:rsidRDefault="00DB27D7" w:rsidP="00BD6681">
            <w:pPr>
              <w:pStyle w:val="naisc"/>
              <w:spacing w:before="0" w:after="0"/>
              <w:ind w:firstLine="21"/>
              <w:jc w:val="both"/>
              <w:rPr>
                <w:sz w:val="22"/>
                <w:szCs w:val="22"/>
              </w:rPr>
            </w:pPr>
            <w:r w:rsidRPr="006E7B3F">
              <w:rPr>
                <w:sz w:val="22"/>
                <w:szCs w:val="22"/>
              </w:rPr>
              <w:t>Atbildīgās ministrijas norāde par to, ka iebildums ir ņemts vērā, vai informācija par saskaņošanā panākto alternatīvo risinājumu</w:t>
            </w:r>
          </w:p>
        </w:tc>
        <w:tc>
          <w:tcPr>
            <w:tcW w:w="3650" w:type="dxa"/>
            <w:vAlign w:val="center"/>
          </w:tcPr>
          <w:p w14:paraId="6C781A2E" w14:textId="77777777" w:rsidR="00DB27D7" w:rsidRPr="006E7B3F" w:rsidRDefault="00DB27D7" w:rsidP="00BD6681">
            <w:pPr>
              <w:jc w:val="both"/>
              <w:rPr>
                <w:sz w:val="22"/>
                <w:szCs w:val="22"/>
              </w:rPr>
            </w:pPr>
            <w:r w:rsidRPr="006E7B3F">
              <w:rPr>
                <w:sz w:val="22"/>
                <w:szCs w:val="22"/>
              </w:rPr>
              <w:t>Projekta attiecīgā punkta (panta) galīgā redakcija</w:t>
            </w:r>
          </w:p>
        </w:tc>
      </w:tr>
      <w:tr w:rsidR="00DB27D7" w:rsidRPr="006E7B3F" w14:paraId="275E3F8A" w14:textId="77777777" w:rsidTr="00ED12D2">
        <w:tc>
          <w:tcPr>
            <w:tcW w:w="985" w:type="dxa"/>
          </w:tcPr>
          <w:p w14:paraId="1DCF02A4" w14:textId="77777777" w:rsidR="00DB27D7" w:rsidRPr="006E7B3F" w:rsidRDefault="00DB27D7" w:rsidP="00BD6681">
            <w:pPr>
              <w:pStyle w:val="naisc"/>
              <w:spacing w:before="0" w:after="0"/>
              <w:jc w:val="both"/>
              <w:rPr>
                <w:sz w:val="22"/>
                <w:szCs w:val="22"/>
              </w:rPr>
            </w:pPr>
            <w:r w:rsidRPr="006E7B3F">
              <w:rPr>
                <w:sz w:val="22"/>
                <w:szCs w:val="22"/>
              </w:rPr>
              <w:t>1</w:t>
            </w:r>
          </w:p>
        </w:tc>
        <w:tc>
          <w:tcPr>
            <w:tcW w:w="3263" w:type="dxa"/>
            <w:gridSpan w:val="2"/>
          </w:tcPr>
          <w:p w14:paraId="29A50D1E" w14:textId="77777777" w:rsidR="00DB27D7" w:rsidRPr="006E7B3F" w:rsidRDefault="00DB27D7" w:rsidP="00BD6681">
            <w:pPr>
              <w:pStyle w:val="naisc"/>
              <w:spacing w:before="0" w:after="0"/>
              <w:ind w:firstLine="720"/>
              <w:jc w:val="both"/>
              <w:rPr>
                <w:sz w:val="22"/>
                <w:szCs w:val="22"/>
              </w:rPr>
            </w:pPr>
            <w:r w:rsidRPr="006E7B3F">
              <w:rPr>
                <w:sz w:val="22"/>
                <w:szCs w:val="22"/>
              </w:rPr>
              <w:t>2</w:t>
            </w:r>
          </w:p>
        </w:tc>
        <w:tc>
          <w:tcPr>
            <w:tcW w:w="4536" w:type="dxa"/>
          </w:tcPr>
          <w:p w14:paraId="3BF512F0" w14:textId="77777777" w:rsidR="00DB27D7" w:rsidRPr="006E7B3F" w:rsidRDefault="00DB27D7" w:rsidP="00BD6681">
            <w:pPr>
              <w:pStyle w:val="naisc"/>
              <w:spacing w:before="0" w:after="0"/>
              <w:ind w:firstLine="720"/>
              <w:jc w:val="both"/>
              <w:rPr>
                <w:sz w:val="22"/>
                <w:szCs w:val="22"/>
              </w:rPr>
            </w:pPr>
            <w:r w:rsidRPr="006E7B3F">
              <w:rPr>
                <w:sz w:val="22"/>
                <w:szCs w:val="22"/>
              </w:rPr>
              <w:t>3</w:t>
            </w:r>
          </w:p>
        </w:tc>
        <w:tc>
          <w:tcPr>
            <w:tcW w:w="2551" w:type="dxa"/>
            <w:gridSpan w:val="2"/>
          </w:tcPr>
          <w:p w14:paraId="43E44F43" w14:textId="77777777" w:rsidR="00DB27D7" w:rsidRPr="006E7B3F" w:rsidRDefault="00DB27D7" w:rsidP="00BD6681">
            <w:pPr>
              <w:pStyle w:val="naisc"/>
              <w:spacing w:before="0" w:after="0"/>
              <w:ind w:firstLine="720"/>
              <w:jc w:val="both"/>
              <w:rPr>
                <w:sz w:val="22"/>
                <w:szCs w:val="22"/>
              </w:rPr>
            </w:pPr>
            <w:r w:rsidRPr="006E7B3F">
              <w:rPr>
                <w:sz w:val="22"/>
                <w:szCs w:val="22"/>
              </w:rPr>
              <w:t>4</w:t>
            </w:r>
          </w:p>
        </w:tc>
        <w:tc>
          <w:tcPr>
            <w:tcW w:w="3650" w:type="dxa"/>
          </w:tcPr>
          <w:p w14:paraId="28C1A185" w14:textId="77777777" w:rsidR="00DB27D7" w:rsidRPr="006E7B3F" w:rsidRDefault="00DB27D7" w:rsidP="00BD6681">
            <w:pPr>
              <w:jc w:val="both"/>
              <w:rPr>
                <w:sz w:val="22"/>
                <w:szCs w:val="22"/>
              </w:rPr>
            </w:pPr>
            <w:r w:rsidRPr="006E7B3F">
              <w:rPr>
                <w:sz w:val="22"/>
                <w:szCs w:val="22"/>
              </w:rPr>
              <w:t>5</w:t>
            </w:r>
          </w:p>
        </w:tc>
      </w:tr>
      <w:tr w:rsidR="00DB27D7" w:rsidRPr="006E7B3F" w14:paraId="2A6B889B" w14:textId="77777777" w:rsidTr="00ED12D2">
        <w:tc>
          <w:tcPr>
            <w:tcW w:w="985" w:type="dxa"/>
          </w:tcPr>
          <w:p w14:paraId="65B84AE7" w14:textId="77777777" w:rsidR="00DB27D7" w:rsidRPr="006E7B3F" w:rsidRDefault="00DB27D7" w:rsidP="00BD6681">
            <w:pPr>
              <w:pStyle w:val="naisc"/>
              <w:spacing w:before="0" w:after="0"/>
              <w:ind w:left="720"/>
              <w:jc w:val="both"/>
              <w:rPr>
                <w:sz w:val="22"/>
                <w:szCs w:val="22"/>
              </w:rPr>
            </w:pPr>
          </w:p>
        </w:tc>
        <w:tc>
          <w:tcPr>
            <w:tcW w:w="3263" w:type="dxa"/>
            <w:gridSpan w:val="2"/>
          </w:tcPr>
          <w:p w14:paraId="6A1E5B7A" w14:textId="77777777" w:rsidR="00DB27D7" w:rsidRPr="006E7B3F" w:rsidRDefault="00DB27D7" w:rsidP="00BD6681">
            <w:pPr>
              <w:pStyle w:val="naisc"/>
              <w:spacing w:before="0" w:after="0"/>
              <w:ind w:firstLine="33"/>
              <w:jc w:val="both"/>
              <w:rPr>
                <w:b/>
                <w:i/>
                <w:sz w:val="22"/>
                <w:szCs w:val="22"/>
              </w:rPr>
            </w:pPr>
          </w:p>
        </w:tc>
        <w:tc>
          <w:tcPr>
            <w:tcW w:w="4536" w:type="dxa"/>
          </w:tcPr>
          <w:p w14:paraId="39FEC3AE" w14:textId="5934E662" w:rsidR="00EF4050" w:rsidRPr="006E7B3F" w:rsidRDefault="00347732" w:rsidP="00BD6681">
            <w:pPr>
              <w:pStyle w:val="naisc"/>
              <w:spacing w:before="0" w:after="0"/>
              <w:jc w:val="both"/>
              <w:rPr>
                <w:b/>
                <w:sz w:val="22"/>
                <w:szCs w:val="22"/>
              </w:rPr>
            </w:pPr>
            <w:r w:rsidRPr="006E7B3F">
              <w:rPr>
                <w:b/>
                <w:sz w:val="22"/>
                <w:szCs w:val="22"/>
              </w:rPr>
              <w:t>Finanšu ministrija</w:t>
            </w:r>
          </w:p>
        </w:tc>
        <w:tc>
          <w:tcPr>
            <w:tcW w:w="2551" w:type="dxa"/>
            <w:gridSpan w:val="2"/>
          </w:tcPr>
          <w:p w14:paraId="7DA5C10D" w14:textId="77777777" w:rsidR="00DB27D7" w:rsidRPr="006E7B3F" w:rsidRDefault="00DB27D7" w:rsidP="00BD6681">
            <w:pPr>
              <w:pStyle w:val="naisc"/>
              <w:spacing w:before="0" w:after="0"/>
              <w:ind w:firstLine="720"/>
              <w:jc w:val="both"/>
              <w:rPr>
                <w:sz w:val="22"/>
                <w:szCs w:val="22"/>
              </w:rPr>
            </w:pPr>
          </w:p>
        </w:tc>
        <w:tc>
          <w:tcPr>
            <w:tcW w:w="3650" w:type="dxa"/>
          </w:tcPr>
          <w:p w14:paraId="5AEBFD91" w14:textId="77777777" w:rsidR="00DB27D7" w:rsidRPr="006E7B3F" w:rsidRDefault="00DB27D7" w:rsidP="00BD6681">
            <w:pPr>
              <w:jc w:val="both"/>
              <w:rPr>
                <w:sz w:val="22"/>
                <w:szCs w:val="22"/>
              </w:rPr>
            </w:pPr>
          </w:p>
        </w:tc>
      </w:tr>
      <w:tr w:rsidR="007639E5" w:rsidRPr="006E7B3F" w14:paraId="37D9AEC8" w14:textId="77777777" w:rsidTr="00ED12D2">
        <w:tc>
          <w:tcPr>
            <w:tcW w:w="985" w:type="dxa"/>
          </w:tcPr>
          <w:p w14:paraId="7A646F7B" w14:textId="77777777" w:rsidR="007639E5" w:rsidRPr="006E7B3F" w:rsidRDefault="007639E5" w:rsidP="00BD6681">
            <w:pPr>
              <w:pStyle w:val="naisc"/>
              <w:numPr>
                <w:ilvl w:val="0"/>
                <w:numId w:val="1"/>
              </w:numPr>
              <w:spacing w:before="0" w:after="0"/>
              <w:jc w:val="both"/>
              <w:rPr>
                <w:sz w:val="22"/>
                <w:szCs w:val="22"/>
              </w:rPr>
            </w:pPr>
          </w:p>
        </w:tc>
        <w:tc>
          <w:tcPr>
            <w:tcW w:w="3263" w:type="dxa"/>
            <w:gridSpan w:val="2"/>
          </w:tcPr>
          <w:p w14:paraId="25735B17" w14:textId="6C7D4D6E" w:rsidR="007639E5" w:rsidRPr="006E7B3F" w:rsidRDefault="007639E5" w:rsidP="00BD6681">
            <w:pPr>
              <w:jc w:val="both"/>
              <w:rPr>
                <w:sz w:val="22"/>
                <w:szCs w:val="22"/>
              </w:rPr>
            </w:pPr>
          </w:p>
        </w:tc>
        <w:tc>
          <w:tcPr>
            <w:tcW w:w="4536" w:type="dxa"/>
          </w:tcPr>
          <w:p w14:paraId="303FC692" w14:textId="52A241F4" w:rsidR="00E723A1" w:rsidRPr="006E7B3F" w:rsidRDefault="00E723A1" w:rsidP="00BD6681">
            <w:pPr>
              <w:pStyle w:val="naisc"/>
              <w:spacing w:before="0" w:after="0"/>
              <w:ind w:firstLine="5"/>
              <w:jc w:val="both"/>
              <w:rPr>
                <w:b/>
                <w:sz w:val="22"/>
                <w:szCs w:val="22"/>
              </w:rPr>
            </w:pPr>
            <w:r w:rsidRPr="006E7B3F">
              <w:rPr>
                <w:b/>
                <w:sz w:val="22"/>
                <w:szCs w:val="22"/>
              </w:rPr>
              <w:t>Finanšu ministrijas 2019. gada 1. </w:t>
            </w:r>
            <w:r w:rsidR="00C673AB" w:rsidRPr="006E7B3F">
              <w:rPr>
                <w:b/>
                <w:sz w:val="22"/>
                <w:szCs w:val="22"/>
              </w:rPr>
              <w:t>novembra atzinums</w:t>
            </w:r>
            <w:r w:rsidRPr="006E7B3F">
              <w:rPr>
                <w:b/>
                <w:sz w:val="22"/>
                <w:szCs w:val="22"/>
              </w:rPr>
              <w:t xml:space="preserve"> iebildums. </w:t>
            </w:r>
          </w:p>
          <w:p w14:paraId="215A378E" w14:textId="2508E7E7" w:rsidR="007639E5" w:rsidRPr="006E7B3F" w:rsidRDefault="00C673AB" w:rsidP="00BD6681">
            <w:pPr>
              <w:jc w:val="both"/>
              <w:rPr>
                <w:sz w:val="22"/>
                <w:szCs w:val="22"/>
              </w:rPr>
            </w:pPr>
            <w:r w:rsidRPr="006E7B3F">
              <w:rPr>
                <w:sz w:val="22"/>
                <w:szCs w:val="22"/>
              </w:rPr>
              <w:t>Lūdzam precizēt informatīvā ziņojuma tabulā “Valsts budžeta dotācija PR 2019.gadā” norādīto piešķirto finansējumu Satiksmes ministrijas budžeta apakšprogrammā 31.08.00 “</w:t>
            </w:r>
            <w:proofErr w:type="spellStart"/>
            <w:r w:rsidRPr="006E7B3F">
              <w:rPr>
                <w:sz w:val="22"/>
                <w:szCs w:val="22"/>
              </w:rPr>
              <w:t>Transferts</w:t>
            </w:r>
            <w:proofErr w:type="spellEnd"/>
            <w:r w:rsidRPr="006E7B3F">
              <w:rPr>
                <w:sz w:val="22"/>
                <w:szCs w:val="22"/>
              </w:rPr>
              <w:t xml:space="preserve"> plānošanas reģioniem sabiedriskā transporta pakalpojumu nodrošināšanai”  mērķim “Sabiedriskā transporta pakalpojumu nodrošināšanai (kopā 5 PR)”, jo saskaņā ar likumu “Par valsts budžetu 2019.gadam” augstāk minētajai programmai 2019.gadam ir pieejams finansējums 224 000 </w:t>
            </w:r>
            <w:proofErr w:type="spellStart"/>
            <w:r w:rsidRPr="006E7B3F">
              <w:rPr>
                <w:i/>
                <w:iCs/>
                <w:sz w:val="22"/>
                <w:szCs w:val="22"/>
              </w:rPr>
              <w:t>euro</w:t>
            </w:r>
            <w:proofErr w:type="spellEnd"/>
            <w:r w:rsidRPr="006E7B3F">
              <w:rPr>
                <w:sz w:val="22"/>
                <w:szCs w:val="22"/>
              </w:rPr>
              <w:t xml:space="preserve"> apmērā.</w:t>
            </w:r>
          </w:p>
        </w:tc>
        <w:tc>
          <w:tcPr>
            <w:tcW w:w="2551" w:type="dxa"/>
            <w:gridSpan w:val="2"/>
          </w:tcPr>
          <w:p w14:paraId="1D11F3F7" w14:textId="3C08ECE0" w:rsidR="007639E5" w:rsidRPr="006E7B3F" w:rsidRDefault="007639E5" w:rsidP="00BD6681">
            <w:pPr>
              <w:jc w:val="both"/>
              <w:rPr>
                <w:b/>
                <w:sz w:val="22"/>
                <w:szCs w:val="22"/>
              </w:rPr>
            </w:pPr>
            <w:r w:rsidRPr="006E7B3F">
              <w:rPr>
                <w:b/>
                <w:sz w:val="22"/>
                <w:szCs w:val="22"/>
              </w:rPr>
              <w:t>Ņemts vērā</w:t>
            </w:r>
          </w:p>
        </w:tc>
        <w:tc>
          <w:tcPr>
            <w:tcW w:w="3650" w:type="dxa"/>
          </w:tcPr>
          <w:p w14:paraId="79B81482" w14:textId="62C2B5B9" w:rsidR="0062528A" w:rsidRPr="006E7B3F" w:rsidRDefault="0062528A" w:rsidP="00BD6681">
            <w:pPr>
              <w:jc w:val="both"/>
              <w:rPr>
                <w:sz w:val="22"/>
                <w:szCs w:val="22"/>
              </w:rPr>
            </w:pPr>
            <w:r w:rsidRPr="006E7B3F">
              <w:rPr>
                <w:sz w:val="22"/>
                <w:szCs w:val="22"/>
              </w:rPr>
              <w:t>Precizēts informatīvā ziņojuma tabulā “Valsts budžeta dotācija PR 2019.gadā” norādīto piešķirto finansējumu Satiksmes ministrijas budžeta apakšprogrammā 31.08.00 “</w:t>
            </w:r>
            <w:proofErr w:type="spellStart"/>
            <w:r w:rsidRPr="006E7B3F">
              <w:rPr>
                <w:sz w:val="22"/>
                <w:szCs w:val="22"/>
              </w:rPr>
              <w:t>Transferts</w:t>
            </w:r>
            <w:proofErr w:type="spellEnd"/>
            <w:r w:rsidRPr="006E7B3F">
              <w:rPr>
                <w:sz w:val="22"/>
                <w:szCs w:val="22"/>
              </w:rPr>
              <w:t xml:space="preserve"> plānošanas reģioniem sabiedriskā transporta pakalpojumu nodrošināšanai”  mērķim “Sabiedriskā transporta pakalpojumu nodrošināšanai (kopā 5 PR)” pieejamais finansējums 224 000 </w:t>
            </w:r>
            <w:proofErr w:type="spellStart"/>
            <w:r w:rsidRPr="006E7B3F">
              <w:rPr>
                <w:i/>
                <w:iCs/>
                <w:sz w:val="22"/>
                <w:szCs w:val="22"/>
              </w:rPr>
              <w:t>euro</w:t>
            </w:r>
            <w:proofErr w:type="spellEnd"/>
            <w:r w:rsidRPr="006E7B3F">
              <w:rPr>
                <w:sz w:val="22"/>
                <w:szCs w:val="22"/>
              </w:rPr>
              <w:t xml:space="preserve"> apmērā.</w:t>
            </w:r>
          </w:p>
          <w:p w14:paraId="1574AB3B" w14:textId="12DAB1A4" w:rsidR="007639E5" w:rsidRPr="006E7B3F" w:rsidRDefault="007639E5" w:rsidP="00BD6681">
            <w:pPr>
              <w:shd w:val="clear" w:color="auto" w:fill="FFFFFF" w:themeFill="background1"/>
              <w:jc w:val="both"/>
              <w:rPr>
                <w:color w:val="FF0000"/>
                <w:sz w:val="22"/>
                <w:szCs w:val="22"/>
                <w:lang w:eastAsia="en-US"/>
              </w:rPr>
            </w:pPr>
          </w:p>
        </w:tc>
      </w:tr>
      <w:tr w:rsidR="00062779" w:rsidRPr="006E7B3F" w14:paraId="06CAFC46" w14:textId="77777777" w:rsidTr="00ED12D2">
        <w:tc>
          <w:tcPr>
            <w:tcW w:w="985" w:type="dxa"/>
          </w:tcPr>
          <w:p w14:paraId="275ADFB8" w14:textId="77777777" w:rsidR="00062779" w:rsidRPr="006E7B3F" w:rsidRDefault="00062779" w:rsidP="00BD6681">
            <w:pPr>
              <w:pStyle w:val="naisc"/>
              <w:numPr>
                <w:ilvl w:val="0"/>
                <w:numId w:val="1"/>
              </w:numPr>
              <w:spacing w:before="0" w:after="0"/>
              <w:jc w:val="both"/>
              <w:rPr>
                <w:sz w:val="22"/>
                <w:szCs w:val="22"/>
              </w:rPr>
            </w:pPr>
          </w:p>
        </w:tc>
        <w:tc>
          <w:tcPr>
            <w:tcW w:w="3263" w:type="dxa"/>
            <w:gridSpan w:val="2"/>
          </w:tcPr>
          <w:p w14:paraId="64454F89" w14:textId="68FA9C00" w:rsidR="00062779" w:rsidRPr="006E7B3F" w:rsidRDefault="00062779" w:rsidP="00BD6681">
            <w:pPr>
              <w:jc w:val="both"/>
              <w:rPr>
                <w:sz w:val="22"/>
                <w:szCs w:val="22"/>
              </w:rPr>
            </w:pPr>
          </w:p>
        </w:tc>
        <w:tc>
          <w:tcPr>
            <w:tcW w:w="4536" w:type="dxa"/>
          </w:tcPr>
          <w:p w14:paraId="303ABCE3" w14:textId="77777777" w:rsidR="004A35D8" w:rsidRDefault="00E723A1" w:rsidP="00BD6681">
            <w:pPr>
              <w:pStyle w:val="naisc"/>
              <w:spacing w:before="0" w:after="0"/>
              <w:ind w:firstLine="5"/>
              <w:jc w:val="both"/>
              <w:rPr>
                <w:b/>
                <w:sz w:val="22"/>
                <w:szCs w:val="22"/>
              </w:rPr>
            </w:pPr>
            <w:r w:rsidRPr="006E7B3F">
              <w:rPr>
                <w:b/>
                <w:sz w:val="22"/>
                <w:szCs w:val="22"/>
              </w:rPr>
              <w:t xml:space="preserve">Finanšu ministrijas 2019. gada </w:t>
            </w:r>
            <w:r w:rsidR="00C673AB" w:rsidRPr="006E7B3F">
              <w:rPr>
                <w:b/>
                <w:sz w:val="22"/>
                <w:szCs w:val="22"/>
              </w:rPr>
              <w:t>1. novembra atzinums, 1. priekšlikums</w:t>
            </w:r>
            <w:r w:rsidRPr="006E7B3F">
              <w:rPr>
                <w:b/>
                <w:sz w:val="22"/>
                <w:szCs w:val="22"/>
              </w:rPr>
              <w:t xml:space="preserve">. </w:t>
            </w:r>
          </w:p>
          <w:p w14:paraId="520935BA" w14:textId="586D27D4" w:rsidR="00062779" w:rsidRPr="004A35D8" w:rsidRDefault="004A35D8" w:rsidP="00BD6681">
            <w:pPr>
              <w:pStyle w:val="naisc"/>
              <w:spacing w:before="0" w:after="0"/>
              <w:ind w:firstLine="5"/>
              <w:jc w:val="both"/>
              <w:rPr>
                <w:b/>
                <w:sz w:val="22"/>
                <w:szCs w:val="22"/>
              </w:rPr>
            </w:pPr>
            <w:r w:rsidRPr="006E7B3F">
              <w:rPr>
                <w:sz w:val="22"/>
                <w:szCs w:val="22"/>
              </w:rPr>
              <w:t xml:space="preserve"> </w:t>
            </w:r>
            <w:r w:rsidR="00402FCD" w:rsidRPr="006E7B3F">
              <w:rPr>
                <w:sz w:val="22"/>
                <w:szCs w:val="22"/>
              </w:rPr>
              <w:t xml:space="preserve">Lūdzam informatīvajā ziņojumā norādīt pilnu Ministru kabineta 2015.gada 16.jūnija noteikumu Nr.313 “Darbības programmas “Izaugsme un nodarbinātība” 9.2.2.specifiskā atbalsta mērķa “Palielināt kvalitatīvu institucionālai aprūpei </w:t>
            </w:r>
            <w:r w:rsidR="00402FCD" w:rsidRPr="006E7B3F">
              <w:rPr>
                <w:sz w:val="22"/>
                <w:szCs w:val="22"/>
              </w:rPr>
              <w:lastRenderedPageBreak/>
              <w:t>alternatīvu sociālo pakalpojumu dzīvesvietā un ģimeniskai videi pietuvinātu pakalpojumu pieejamību personām ar invaliditāti un bērniem” 9.2.2.1.pasākuma “</w:t>
            </w:r>
            <w:proofErr w:type="spellStart"/>
            <w:r w:rsidR="00402FCD" w:rsidRPr="006E7B3F">
              <w:rPr>
                <w:sz w:val="22"/>
                <w:szCs w:val="22"/>
              </w:rPr>
              <w:t>Deinstitucionalizācija</w:t>
            </w:r>
            <w:proofErr w:type="spellEnd"/>
            <w:r w:rsidR="00402FCD" w:rsidRPr="006E7B3F">
              <w:rPr>
                <w:sz w:val="22"/>
                <w:szCs w:val="22"/>
              </w:rPr>
              <w:t>” īstenošanas noteikumi” nosaukumu.</w:t>
            </w:r>
          </w:p>
        </w:tc>
        <w:tc>
          <w:tcPr>
            <w:tcW w:w="2551" w:type="dxa"/>
            <w:gridSpan w:val="2"/>
          </w:tcPr>
          <w:p w14:paraId="465EFD2E" w14:textId="17BF02D1" w:rsidR="00062779" w:rsidRPr="006E7B3F" w:rsidRDefault="00062779" w:rsidP="00BD6681">
            <w:pPr>
              <w:jc w:val="both"/>
              <w:rPr>
                <w:b/>
                <w:sz w:val="22"/>
                <w:szCs w:val="22"/>
              </w:rPr>
            </w:pPr>
            <w:r w:rsidRPr="006E7B3F">
              <w:rPr>
                <w:b/>
                <w:sz w:val="22"/>
                <w:szCs w:val="22"/>
              </w:rPr>
              <w:lastRenderedPageBreak/>
              <w:t>Ņemts vērā</w:t>
            </w:r>
          </w:p>
        </w:tc>
        <w:tc>
          <w:tcPr>
            <w:tcW w:w="3650" w:type="dxa"/>
          </w:tcPr>
          <w:p w14:paraId="4523BB08" w14:textId="255F6A89" w:rsidR="00062779" w:rsidRPr="006E7B3F" w:rsidRDefault="004A35D8" w:rsidP="00BD6681">
            <w:pPr>
              <w:jc w:val="both"/>
              <w:rPr>
                <w:color w:val="FF0000"/>
                <w:sz w:val="22"/>
                <w:szCs w:val="22"/>
              </w:rPr>
            </w:pPr>
            <w:r>
              <w:rPr>
                <w:sz w:val="22"/>
                <w:szCs w:val="22"/>
              </w:rPr>
              <w:t>I</w:t>
            </w:r>
            <w:r w:rsidRPr="006E7B3F">
              <w:rPr>
                <w:sz w:val="22"/>
                <w:szCs w:val="22"/>
              </w:rPr>
              <w:t>nformatīvajā ziņojumā norādīt</w:t>
            </w:r>
            <w:r>
              <w:rPr>
                <w:sz w:val="22"/>
                <w:szCs w:val="22"/>
              </w:rPr>
              <w:t xml:space="preserve">s pilns </w:t>
            </w:r>
            <w:r w:rsidRPr="006E7B3F">
              <w:rPr>
                <w:sz w:val="22"/>
                <w:szCs w:val="22"/>
              </w:rPr>
              <w:t xml:space="preserve">Ministru kabineta 2015.gada 16.jūnija noteikumu Nr.313 “Darbības programmas “Izaugsme un nodarbinātība” 9.2.2.specifiskā atbalsta mērķa “Palielināt kvalitatīvu institucionālai aprūpei alternatīvu </w:t>
            </w:r>
            <w:r w:rsidRPr="006E7B3F">
              <w:rPr>
                <w:sz w:val="22"/>
                <w:szCs w:val="22"/>
              </w:rPr>
              <w:lastRenderedPageBreak/>
              <w:t>sociālo pakalpojumu dzīvesvietā un ģimeniskai videi pietuvinātu pakalpojumu pieejamību personām ar invaliditāti un bērniem” 9.2.2.1.pasākuma “</w:t>
            </w:r>
            <w:proofErr w:type="spellStart"/>
            <w:r w:rsidRPr="006E7B3F">
              <w:rPr>
                <w:sz w:val="22"/>
                <w:szCs w:val="22"/>
              </w:rPr>
              <w:t>Deinstitucionalizācija</w:t>
            </w:r>
            <w:proofErr w:type="spellEnd"/>
            <w:r w:rsidRPr="006E7B3F">
              <w:rPr>
                <w:sz w:val="22"/>
                <w:szCs w:val="22"/>
              </w:rPr>
              <w:t>” īstenošanas noteikumi” nosaukum</w:t>
            </w:r>
            <w:r>
              <w:rPr>
                <w:sz w:val="22"/>
                <w:szCs w:val="22"/>
              </w:rPr>
              <w:t>s</w:t>
            </w:r>
            <w:r w:rsidRPr="006E7B3F">
              <w:rPr>
                <w:sz w:val="22"/>
                <w:szCs w:val="22"/>
              </w:rPr>
              <w:t>.</w:t>
            </w:r>
          </w:p>
        </w:tc>
      </w:tr>
      <w:tr w:rsidR="007639E5" w:rsidRPr="006E7B3F" w14:paraId="6EB4ECAB" w14:textId="77777777" w:rsidTr="00ED12D2">
        <w:trPr>
          <w:trHeight w:val="1276"/>
        </w:trPr>
        <w:tc>
          <w:tcPr>
            <w:tcW w:w="985" w:type="dxa"/>
          </w:tcPr>
          <w:p w14:paraId="3512F8E9" w14:textId="77777777" w:rsidR="007639E5" w:rsidRPr="006E7B3F" w:rsidRDefault="007639E5" w:rsidP="00BD6681">
            <w:pPr>
              <w:pStyle w:val="naisc"/>
              <w:numPr>
                <w:ilvl w:val="0"/>
                <w:numId w:val="1"/>
              </w:numPr>
              <w:spacing w:before="0" w:after="0"/>
              <w:jc w:val="both"/>
              <w:rPr>
                <w:sz w:val="22"/>
                <w:szCs w:val="22"/>
              </w:rPr>
            </w:pPr>
          </w:p>
        </w:tc>
        <w:tc>
          <w:tcPr>
            <w:tcW w:w="3263" w:type="dxa"/>
            <w:gridSpan w:val="2"/>
          </w:tcPr>
          <w:p w14:paraId="33E3DCB6" w14:textId="713FA335" w:rsidR="007639E5" w:rsidRPr="006E7B3F" w:rsidRDefault="007639E5" w:rsidP="00BD6681">
            <w:pPr>
              <w:pStyle w:val="Title"/>
              <w:ind w:firstLine="720"/>
              <w:jc w:val="both"/>
              <w:outlineLvl w:val="0"/>
              <w:rPr>
                <w:sz w:val="22"/>
                <w:szCs w:val="22"/>
              </w:rPr>
            </w:pPr>
          </w:p>
        </w:tc>
        <w:tc>
          <w:tcPr>
            <w:tcW w:w="4536" w:type="dxa"/>
          </w:tcPr>
          <w:p w14:paraId="6FD48083" w14:textId="17F8401D" w:rsidR="00E723A1" w:rsidRPr="006E7B3F" w:rsidRDefault="00E723A1" w:rsidP="00BD6681">
            <w:pPr>
              <w:pStyle w:val="naisc"/>
              <w:spacing w:before="0" w:after="0"/>
              <w:ind w:firstLine="5"/>
              <w:jc w:val="both"/>
              <w:rPr>
                <w:b/>
                <w:sz w:val="22"/>
                <w:szCs w:val="22"/>
              </w:rPr>
            </w:pPr>
            <w:r w:rsidRPr="006E7B3F">
              <w:rPr>
                <w:b/>
                <w:sz w:val="22"/>
                <w:szCs w:val="22"/>
              </w:rPr>
              <w:t>F</w:t>
            </w:r>
            <w:r w:rsidR="00C673AB" w:rsidRPr="006E7B3F">
              <w:rPr>
                <w:b/>
                <w:sz w:val="22"/>
                <w:szCs w:val="22"/>
              </w:rPr>
              <w:t>inanšu ministrijas 2019. gada 1</w:t>
            </w:r>
            <w:r w:rsidRPr="006E7B3F">
              <w:rPr>
                <w:b/>
                <w:sz w:val="22"/>
                <w:szCs w:val="22"/>
              </w:rPr>
              <w:t>. </w:t>
            </w:r>
            <w:r w:rsidR="00C673AB" w:rsidRPr="006E7B3F">
              <w:rPr>
                <w:b/>
                <w:sz w:val="22"/>
                <w:szCs w:val="22"/>
              </w:rPr>
              <w:t>novembra atzinums, 2. priekšlikums</w:t>
            </w:r>
            <w:r w:rsidRPr="006E7B3F">
              <w:rPr>
                <w:b/>
                <w:sz w:val="22"/>
                <w:szCs w:val="22"/>
              </w:rPr>
              <w:t xml:space="preserve">. </w:t>
            </w:r>
          </w:p>
          <w:p w14:paraId="04DB73E9" w14:textId="67478066" w:rsidR="007639E5" w:rsidRPr="006E7B3F" w:rsidRDefault="00402FCD" w:rsidP="00BD6681">
            <w:pPr>
              <w:pStyle w:val="CommentText"/>
              <w:spacing w:after="0" w:line="240" w:lineRule="auto"/>
              <w:ind w:firstLine="0"/>
              <w:rPr>
                <w:rFonts w:ascii="Times New Roman" w:hAnsi="Times New Roman" w:cs="Times New Roman"/>
                <w:sz w:val="22"/>
                <w:szCs w:val="22"/>
              </w:rPr>
            </w:pPr>
            <w:r w:rsidRPr="006E7B3F">
              <w:rPr>
                <w:rFonts w:ascii="Times New Roman" w:eastAsia="Times New Roman" w:hAnsi="Times New Roman" w:cs="Times New Roman"/>
                <w:sz w:val="22"/>
                <w:szCs w:val="22"/>
              </w:rPr>
              <w:t>Lūdzam informatīvajā ziņojumā aizstāt vārdu “realizēt” ar vārdu “īstenot” (attiecīgajā locījumā).</w:t>
            </w:r>
          </w:p>
        </w:tc>
        <w:tc>
          <w:tcPr>
            <w:tcW w:w="2551" w:type="dxa"/>
            <w:gridSpan w:val="2"/>
          </w:tcPr>
          <w:p w14:paraId="71FA5AA1" w14:textId="5B433029" w:rsidR="007639E5" w:rsidRPr="006E7B3F" w:rsidRDefault="007639E5" w:rsidP="00BD6681">
            <w:pPr>
              <w:jc w:val="both"/>
              <w:rPr>
                <w:b/>
                <w:sz w:val="22"/>
                <w:szCs w:val="22"/>
              </w:rPr>
            </w:pPr>
            <w:r w:rsidRPr="006E7B3F">
              <w:rPr>
                <w:b/>
                <w:sz w:val="22"/>
                <w:szCs w:val="22"/>
              </w:rPr>
              <w:t>Ņemts vērā</w:t>
            </w:r>
          </w:p>
        </w:tc>
        <w:tc>
          <w:tcPr>
            <w:tcW w:w="3650" w:type="dxa"/>
          </w:tcPr>
          <w:p w14:paraId="2C73BA0A" w14:textId="20200137" w:rsidR="007639E5" w:rsidRPr="006E7B3F" w:rsidRDefault="0062528A" w:rsidP="00BD6681">
            <w:pPr>
              <w:jc w:val="both"/>
              <w:rPr>
                <w:rFonts w:eastAsia="Helvetica Neue"/>
                <w:sz w:val="22"/>
                <w:szCs w:val="22"/>
              </w:rPr>
            </w:pPr>
            <w:r w:rsidRPr="006E7B3F">
              <w:rPr>
                <w:sz w:val="22"/>
                <w:szCs w:val="22"/>
              </w:rPr>
              <w:t>Informatīvajā ziņojumā aizstāts vārds “realizēt” ar vārdu “īstenot” (attiecīgajā locījumā).</w:t>
            </w:r>
          </w:p>
        </w:tc>
      </w:tr>
      <w:tr w:rsidR="00347732" w:rsidRPr="006E7B3F" w14:paraId="629E4C5B" w14:textId="77777777" w:rsidTr="00ED12D2">
        <w:tc>
          <w:tcPr>
            <w:tcW w:w="985" w:type="dxa"/>
          </w:tcPr>
          <w:p w14:paraId="261A07F4" w14:textId="77777777" w:rsidR="00347732" w:rsidRPr="006E7B3F" w:rsidRDefault="00347732" w:rsidP="00BD6681">
            <w:pPr>
              <w:pStyle w:val="naisc"/>
              <w:spacing w:before="0" w:after="0"/>
              <w:ind w:left="615"/>
              <w:jc w:val="both"/>
              <w:rPr>
                <w:sz w:val="22"/>
                <w:szCs w:val="22"/>
              </w:rPr>
            </w:pPr>
          </w:p>
        </w:tc>
        <w:tc>
          <w:tcPr>
            <w:tcW w:w="3263" w:type="dxa"/>
            <w:gridSpan w:val="2"/>
          </w:tcPr>
          <w:p w14:paraId="4FAFE9F1" w14:textId="77777777" w:rsidR="00347732" w:rsidRPr="006E7B3F" w:rsidRDefault="00347732" w:rsidP="00BD6681">
            <w:pPr>
              <w:jc w:val="both"/>
              <w:rPr>
                <w:b/>
                <w:i/>
                <w:sz w:val="22"/>
                <w:szCs w:val="22"/>
              </w:rPr>
            </w:pPr>
          </w:p>
        </w:tc>
        <w:tc>
          <w:tcPr>
            <w:tcW w:w="4536" w:type="dxa"/>
          </w:tcPr>
          <w:p w14:paraId="06A1664A" w14:textId="4D9C0428" w:rsidR="00347732" w:rsidRPr="006E7B3F" w:rsidRDefault="006B4C2B" w:rsidP="00BD6681">
            <w:pPr>
              <w:jc w:val="both"/>
              <w:rPr>
                <w:sz w:val="22"/>
                <w:szCs w:val="22"/>
              </w:rPr>
            </w:pPr>
            <w:r w:rsidRPr="006E7B3F">
              <w:rPr>
                <w:b/>
                <w:sz w:val="22"/>
                <w:szCs w:val="22"/>
              </w:rPr>
              <w:t>Labklājības</w:t>
            </w:r>
            <w:r w:rsidR="00347732" w:rsidRPr="006E7B3F">
              <w:rPr>
                <w:b/>
                <w:sz w:val="22"/>
                <w:szCs w:val="22"/>
              </w:rPr>
              <w:t xml:space="preserve"> ministrija</w:t>
            </w:r>
          </w:p>
        </w:tc>
        <w:tc>
          <w:tcPr>
            <w:tcW w:w="2551" w:type="dxa"/>
            <w:gridSpan w:val="2"/>
          </w:tcPr>
          <w:p w14:paraId="78DDDFC6" w14:textId="77777777" w:rsidR="00347732" w:rsidRPr="006E7B3F" w:rsidRDefault="00347732" w:rsidP="00BD6681">
            <w:pPr>
              <w:jc w:val="both"/>
              <w:rPr>
                <w:sz w:val="22"/>
                <w:szCs w:val="22"/>
              </w:rPr>
            </w:pPr>
          </w:p>
        </w:tc>
        <w:tc>
          <w:tcPr>
            <w:tcW w:w="3650" w:type="dxa"/>
          </w:tcPr>
          <w:p w14:paraId="72DEA64A" w14:textId="77777777" w:rsidR="00347732" w:rsidRPr="006E7B3F" w:rsidRDefault="00347732" w:rsidP="00BD6681">
            <w:pPr>
              <w:jc w:val="both"/>
              <w:rPr>
                <w:rFonts w:eastAsia="Helvetica Neue"/>
                <w:sz w:val="22"/>
                <w:szCs w:val="22"/>
              </w:rPr>
            </w:pPr>
          </w:p>
        </w:tc>
      </w:tr>
      <w:tr w:rsidR="00347732" w:rsidRPr="006E7B3F" w14:paraId="1C0019BE" w14:textId="77777777" w:rsidTr="00ED12D2">
        <w:tc>
          <w:tcPr>
            <w:tcW w:w="985" w:type="dxa"/>
          </w:tcPr>
          <w:p w14:paraId="6DE4396A" w14:textId="77777777" w:rsidR="00347732" w:rsidRPr="006E7B3F" w:rsidRDefault="00347732" w:rsidP="00BD6681">
            <w:pPr>
              <w:pStyle w:val="naisc"/>
              <w:numPr>
                <w:ilvl w:val="0"/>
                <w:numId w:val="1"/>
              </w:numPr>
              <w:spacing w:before="0" w:after="0"/>
              <w:jc w:val="both"/>
              <w:rPr>
                <w:sz w:val="22"/>
                <w:szCs w:val="22"/>
              </w:rPr>
            </w:pPr>
          </w:p>
        </w:tc>
        <w:tc>
          <w:tcPr>
            <w:tcW w:w="3263" w:type="dxa"/>
            <w:gridSpan w:val="2"/>
          </w:tcPr>
          <w:p w14:paraId="677B8919" w14:textId="77777777" w:rsidR="00347732" w:rsidRPr="006E7B3F" w:rsidRDefault="00347732" w:rsidP="00BD6681">
            <w:pPr>
              <w:jc w:val="both"/>
              <w:rPr>
                <w:b/>
                <w:i/>
                <w:sz w:val="22"/>
                <w:szCs w:val="22"/>
              </w:rPr>
            </w:pPr>
          </w:p>
        </w:tc>
        <w:tc>
          <w:tcPr>
            <w:tcW w:w="4536" w:type="dxa"/>
          </w:tcPr>
          <w:p w14:paraId="626CADB7" w14:textId="17616C84" w:rsidR="00E723A1" w:rsidRPr="006E7B3F" w:rsidRDefault="006B4C2B" w:rsidP="00BD6681">
            <w:pPr>
              <w:pStyle w:val="naisc"/>
              <w:spacing w:before="0" w:after="0"/>
              <w:ind w:firstLine="5"/>
              <w:jc w:val="both"/>
              <w:rPr>
                <w:b/>
                <w:sz w:val="22"/>
                <w:szCs w:val="22"/>
              </w:rPr>
            </w:pPr>
            <w:r w:rsidRPr="006E7B3F">
              <w:rPr>
                <w:b/>
                <w:sz w:val="22"/>
                <w:szCs w:val="22"/>
              </w:rPr>
              <w:t>Labklājības ministrijas 2019. gada 31</w:t>
            </w:r>
            <w:r w:rsidR="00E723A1" w:rsidRPr="006E7B3F">
              <w:rPr>
                <w:b/>
                <w:sz w:val="22"/>
                <w:szCs w:val="22"/>
              </w:rPr>
              <w:t>. </w:t>
            </w:r>
            <w:r w:rsidRPr="006E7B3F">
              <w:rPr>
                <w:b/>
                <w:sz w:val="22"/>
                <w:szCs w:val="22"/>
              </w:rPr>
              <w:t>oktobra</w:t>
            </w:r>
            <w:r w:rsidR="00E723A1" w:rsidRPr="006E7B3F">
              <w:rPr>
                <w:b/>
                <w:sz w:val="22"/>
                <w:szCs w:val="22"/>
              </w:rPr>
              <w:t xml:space="preserve"> atzinuma  </w:t>
            </w:r>
            <w:r w:rsidRPr="006E7B3F">
              <w:rPr>
                <w:b/>
                <w:sz w:val="22"/>
                <w:szCs w:val="22"/>
              </w:rPr>
              <w:t>1.priekšlikums</w:t>
            </w:r>
            <w:r w:rsidR="00E723A1" w:rsidRPr="006E7B3F">
              <w:rPr>
                <w:b/>
                <w:sz w:val="22"/>
                <w:szCs w:val="22"/>
              </w:rPr>
              <w:t xml:space="preserve">. </w:t>
            </w:r>
          </w:p>
          <w:p w14:paraId="14076019" w14:textId="04A60ECD" w:rsidR="00347732" w:rsidRPr="00E1231D" w:rsidRDefault="006B4C2B" w:rsidP="00BD6681">
            <w:pPr>
              <w:autoSpaceDE w:val="0"/>
              <w:autoSpaceDN w:val="0"/>
              <w:adjustRightInd w:val="0"/>
              <w:jc w:val="both"/>
              <w:rPr>
                <w:sz w:val="22"/>
                <w:szCs w:val="22"/>
              </w:rPr>
            </w:pPr>
            <w:r w:rsidRPr="00E1231D">
              <w:rPr>
                <w:sz w:val="22"/>
                <w:szCs w:val="22"/>
              </w:rPr>
              <w:t>Precizēt informatīvā ziņojuma 2.lpp. teikumu “ATR likumprojektā ir noteikti sekojoši teritoriju veidi: republikas pilsētas un novadi, kurus iedala teritoriālajās vienībās: republikas pilsētas – Rīga un Jūrmala; novadi, kurus iedala teritoriālajās vienībās: novada pilsētās un novada pagastos”, jo šobrīd, saskaņā ar paredzamo administratīvi teritoriālo iedalījumu, tiek plānotas nevis divas, bet četras republikas nozīmes pilsētas.</w:t>
            </w:r>
          </w:p>
        </w:tc>
        <w:tc>
          <w:tcPr>
            <w:tcW w:w="2551" w:type="dxa"/>
            <w:gridSpan w:val="2"/>
          </w:tcPr>
          <w:p w14:paraId="79FE4A9D" w14:textId="04BF1CEB" w:rsidR="00347732" w:rsidRPr="006E7B3F" w:rsidRDefault="00BA7265" w:rsidP="00BD6681">
            <w:pPr>
              <w:jc w:val="both"/>
              <w:rPr>
                <w:sz w:val="22"/>
                <w:szCs w:val="22"/>
              </w:rPr>
            </w:pPr>
            <w:r w:rsidRPr="006E7B3F">
              <w:rPr>
                <w:b/>
                <w:sz w:val="22"/>
                <w:szCs w:val="22"/>
              </w:rPr>
              <w:t>Ņemts vērā</w:t>
            </w:r>
          </w:p>
        </w:tc>
        <w:tc>
          <w:tcPr>
            <w:tcW w:w="3650" w:type="dxa"/>
          </w:tcPr>
          <w:p w14:paraId="2B815755" w14:textId="30B4F787" w:rsidR="001749F8" w:rsidRPr="006E7B3F" w:rsidRDefault="00123DA4" w:rsidP="00BD6681">
            <w:pPr>
              <w:tabs>
                <w:tab w:val="left" w:pos="6840"/>
              </w:tabs>
              <w:jc w:val="both"/>
              <w:rPr>
                <w:sz w:val="22"/>
                <w:szCs w:val="22"/>
              </w:rPr>
            </w:pPr>
            <w:r w:rsidRPr="006E7B3F">
              <w:rPr>
                <w:sz w:val="22"/>
                <w:szCs w:val="22"/>
              </w:rPr>
              <w:t>Precizēts informatīvā ziņojuma 2.lpp. teikums, izsakot to sekojošā redakcijā</w:t>
            </w:r>
            <w:r w:rsidR="00AD5E34" w:rsidRPr="006E7B3F">
              <w:rPr>
                <w:sz w:val="22"/>
                <w:szCs w:val="22"/>
              </w:rPr>
              <w:t xml:space="preserve">: </w:t>
            </w:r>
            <w:r w:rsidRPr="006E7B3F">
              <w:rPr>
                <w:sz w:val="22"/>
                <w:szCs w:val="22"/>
              </w:rPr>
              <w:t xml:space="preserve"> “ATR likumprojektā ir noteikti sekojoši teritoriju veidi: republikas pilsētas un novadi, kurus iedala teritoriālajās vienībās: republikas pilsētas – </w:t>
            </w:r>
            <w:r w:rsidR="00AD5E34" w:rsidRPr="006E7B3F">
              <w:rPr>
                <w:sz w:val="22"/>
                <w:szCs w:val="22"/>
              </w:rPr>
              <w:t>Daugavpils, Jūrmala, Liepāja, Rēzekne un Rīga</w:t>
            </w:r>
            <w:r w:rsidRPr="006E7B3F">
              <w:rPr>
                <w:sz w:val="22"/>
                <w:szCs w:val="22"/>
              </w:rPr>
              <w:t>; novadi, kurus iedala teritoriālajās vienībās: novada pilsētās un novada pagastos”</w:t>
            </w:r>
            <w:r w:rsidR="00AD5E34" w:rsidRPr="006E7B3F">
              <w:rPr>
                <w:sz w:val="22"/>
                <w:szCs w:val="22"/>
              </w:rPr>
              <w:t>.</w:t>
            </w:r>
          </w:p>
        </w:tc>
      </w:tr>
      <w:tr w:rsidR="006B4C2B" w:rsidRPr="006E7B3F" w14:paraId="38D8A273" w14:textId="77777777" w:rsidTr="00ED12D2">
        <w:tc>
          <w:tcPr>
            <w:tcW w:w="985" w:type="dxa"/>
          </w:tcPr>
          <w:p w14:paraId="65E28AD2" w14:textId="77777777" w:rsidR="006B4C2B" w:rsidRPr="006E7B3F" w:rsidRDefault="006B4C2B" w:rsidP="00BD6681">
            <w:pPr>
              <w:pStyle w:val="naisc"/>
              <w:numPr>
                <w:ilvl w:val="0"/>
                <w:numId w:val="1"/>
              </w:numPr>
              <w:spacing w:before="0" w:after="0"/>
              <w:jc w:val="both"/>
              <w:rPr>
                <w:sz w:val="22"/>
                <w:szCs w:val="22"/>
              </w:rPr>
            </w:pPr>
          </w:p>
        </w:tc>
        <w:tc>
          <w:tcPr>
            <w:tcW w:w="3263" w:type="dxa"/>
            <w:gridSpan w:val="2"/>
          </w:tcPr>
          <w:p w14:paraId="3EF4848A" w14:textId="77777777" w:rsidR="006B4C2B" w:rsidRPr="006E7B3F" w:rsidRDefault="006B4C2B" w:rsidP="00BD6681">
            <w:pPr>
              <w:jc w:val="both"/>
              <w:rPr>
                <w:b/>
                <w:i/>
                <w:sz w:val="22"/>
                <w:szCs w:val="22"/>
              </w:rPr>
            </w:pPr>
          </w:p>
        </w:tc>
        <w:tc>
          <w:tcPr>
            <w:tcW w:w="4536" w:type="dxa"/>
          </w:tcPr>
          <w:p w14:paraId="69DCF010" w14:textId="03BCD147" w:rsidR="006B4C2B" w:rsidRPr="006E7B3F" w:rsidRDefault="006B4C2B" w:rsidP="00BD6681">
            <w:pPr>
              <w:pStyle w:val="naisc"/>
              <w:spacing w:before="0" w:after="0"/>
              <w:ind w:firstLine="5"/>
              <w:jc w:val="both"/>
              <w:rPr>
                <w:b/>
                <w:sz w:val="22"/>
                <w:szCs w:val="22"/>
              </w:rPr>
            </w:pPr>
            <w:r w:rsidRPr="006E7B3F">
              <w:rPr>
                <w:b/>
                <w:sz w:val="22"/>
                <w:szCs w:val="22"/>
              </w:rPr>
              <w:t xml:space="preserve">Labklājības ministrijas 2019. gada 31. oktobra atzinuma  2.priekšlikums. </w:t>
            </w:r>
          </w:p>
          <w:p w14:paraId="458D6B56" w14:textId="1B56C70C" w:rsidR="006B4C2B" w:rsidRPr="006E7B3F" w:rsidRDefault="006B4C2B" w:rsidP="00BD6681">
            <w:pPr>
              <w:pStyle w:val="naisc"/>
              <w:spacing w:before="0" w:after="0"/>
              <w:ind w:firstLine="5"/>
              <w:jc w:val="both"/>
              <w:rPr>
                <w:b/>
                <w:sz w:val="22"/>
                <w:szCs w:val="22"/>
              </w:rPr>
            </w:pPr>
            <w:r w:rsidRPr="006E7B3F">
              <w:rPr>
                <w:sz w:val="22"/>
                <w:szCs w:val="22"/>
              </w:rPr>
              <w:t xml:space="preserve">Papildināt informatīvo ziņojumu ar informāciju par paredzamajām izmaiņām saistībā ar kopējo statistiski teritoriālo klasifikāciju (NUTS), lai būtu saprotams, ko sevī ietver informatīvajam ziņojumam pievienotā </w:t>
            </w:r>
            <w:proofErr w:type="spellStart"/>
            <w:r w:rsidRPr="006E7B3F">
              <w:rPr>
                <w:sz w:val="22"/>
                <w:szCs w:val="22"/>
              </w:rPr>
              <w:t>protoklollēmuma</w:t>
            </w:r>
            <w:proofErr w:type="spellEnd"/>
            <w:r w:rsidRPr="006E7B3F">
              <w:rPr>
                <w:sz w:val="22"/>
                <w:szCs w:val="22"/>
              </w:rPr>
              <w:t xml:space="preserve"> 3.punkta uzdevums attiecībā uz šo klasifikāciju.</w:t>
            </w:r>
          </w:p>
        </w:tc>
        <w:tc>
          <w:tcPr>
            <w:tcW w:w="2551" w:type="dxa"/>
            <w:gridSpan w:val="2"/>
          </w:tcPr>
          <w:p w14:paraId="5D5BADD6" w14:textId="231FE260" w:rsidR="006B4C2B" w:rsidRPr="0007060D" w:rsidRDefault="00BD6681" w:rsidP="00BD6681">
            <w:pPr>
              <w:jc w:val="both"/>
              <w:rPr>
                <w:b/>
                <w:sz w:val="22"/>
                <w:szCs w:val="22"/>
              </w:rPr>
            </w:pPr>
            <w:r w:rsidRPr="0007060D">
              <w:rPr>
                <w:b/>
                <w:sz w:val="22"/>
                <w:szCs w:val="22"/>
              </w:rPr>
              <w:t>Ņemts vērā</w:t>
            </w:r>
          </w:p>
        </w:tc>
        <w:tc>
          <w:tcPr>
            <w:tcW w:w="3650" w:type="dxa"/>
          </w:tcPr>
          <w:p w14:paraId="2128E4A7" w14:textId="0755399C" w:rsidR="006B4C2B" w:rsidRPr="0007060D" w:rsidRDefault="0007060D" w:rsidP="00BD6681">
            <w:pPr>
              <w:tabs>
                <w:tab w:val="left" w:pos="6840"/>
              </w:tabs>
              <w:jc w:val="both"/>
              <w:rPr>
                <w:sz w:val="22"/>
                <w:szCs w:val="22"/>
              </w:rPr>
            </w:pPr>
            <w:r w:rsidRPr="0007060D">
              <w:rPr>
                <w:sz w:val="22"/>
                <w:szCs w:val="22"/>
              </w:rPr>
              <w:t>Informatīvais ziņojums ir papildināts ar informāciju par paredzamajām izmaiņām saistībā a kopējo statistiski teritoriālo klasifikāciju (NUTS).</w:t>
            </w:r>
            <w:r w:rsidR="00BD6681" w:rsidRPr="0007060D">
              <w:rPr>
                <w:sz w:val="22"/>
                <w:szCs w:val="22"/>
              </w:rPr>
              <w:t xml:space="preserve"> </w:t>
            </w:r>
          </w:p>
        </w:tc>
      </w:tr>
      <w:tr w:rsidR="00B9383C" w:rsidRPr="006E7B3F" w14:paraId="2AE531CA" w14:textId="77777777" w:rsidTr="00ED12D2">
        <w:tc>
          <w:tcPr>
            <w:tcW w:w="985" w:type="dxa"/>
          </w:tcPr>
          <w:p w14:paraId="4AE85AE6" w14:textId="77777777" w:rsidR="00B9383C" w:rsidRPr="006E7B3F" w:rsidRDefault="00B9383C" w:rsidP="00BD6681">
            <w:pPr>
              <w:pStyle w:val="naisc"/>
              <w:spacing w:before="0" w:after="0"/>
              <w:ind w:left="615"/>
              <w:jc w:val="both"/>
              <w:rPr>
                <w:sz w:val="22"/>
                <w:szCs w:val="22"/>
              </w:rPr>
            </w:pPr>
          </w:p>
        </w:tc>
        <w:tc>
          <w:tcPr>
            <w:tcW w:w="3263" w:type="dxa"/>
            <w:gridSpan w:val="2"/>
          </w:tcPr>
          <w:p w14:paraId="4EF41154" w14:textId="77777777" w:rsidR="00B9383C" w:rsidRPr="006E7B3F" w:rsidRDefault="00B9383C" w:rsidP="00BD6681">
            <w:pPr>
              <w:jc w:val="both"/>
              <w:rPr>
                <w:b/>
                <w:i/>
                <w:sz w:val="22"/>
                <w:szCs w:val="22"/>
              </w:rPr>
            </w:pPr>
          </w:p>
        </w:tc>
        <w:tc>
          <w:tcPr>
            <w:tcW w:w="4536" w:type="dxa"/>
          </w:tcPr>
          <w:p w14:paraId="0449B350" w14:textId="136B2CE7" w:rsidR="00B9383C" w:rsidRPr="006E7B3F" w:rsidRDefault="001555B5" w:rsidP="00BD6681">
            <w:pPr>
              <w:jc w:val="both"/>
              <w:rPr>
                <w:b/>
                <w:sz w:val="22"/>
                <w:szCs w:val="22"/>
              </w:rPr>
            </w:pPr>
            <w:r w:rsidRPr="006E7B3F">
              <w:rPr>
                <w:b/>
                <w:sz w:val="22"/>
                <w:szCs w:val="22"/>
              </w:rPr>
              <w:t>Ekonomikas</w:t>
            </w:r>
            <w:r w:rsidR="00B9383C" w:rsidRPr="006E7B3F">
              <w:rPr>
                <w:b/>
                <w:sz w:val="22"/>
                <w:szCs w:val="22"/>
              </w:rPr>
              <w:t xml:space="preserve"> ministrija</w:t>
            </w:r>
          </w:p>
        </w:tc>
        <w:tc>
          <w:tcPr>
            <w:tcW w:w="2551" w:type="dxa"/>
            <w:gridSpan w:val="2"/>
          </w:tcPr>
          <w:p w14:paraId="1A70B7D7" w14:textId="77777777" w:rsidR="00B9383C" w:rsidRPr="006E7B3F" w:rsidRDefault="00B9383C" w:rsidP="00BD6681">
            <w:pPr>
              <w:jc w:val="both"/>
              <w:rPr>
                <w:sz w:val="22"/>
                <w:szCs w:val="22"/>
              </w:rPr>
            </w:pPr>
          </w:p>
        </w:tc>
        <w:tc>
          <w:tcPr>
            <w:tcW w:w="3650" w:type="dxa"/>
          </w:tcPr>
          <w:p w14:paraId="71497A49" w14:textId="77777777" w:rsidR="00B9383C" w:rsidRPr="006E7B3F" w:rsidRDefault="00B9383C" w:rsidP="00BD6681">
            <w:pPr>
              <w:jc w:val="both"/>
              <w:rPr>
                <w:rFonts w:eastAsia="Helvetica Neue"/>
                <w:sz w:val="22"/>
                <w:szCs w:val="22"/>
              </w:rPr>
            </w:pPr>
          </w:p>
        </w:tc>
      </w:tr>
      <w:tr w:rsidR="00B9383C" w:rsidRPr="006E7B3F" w14:paraId="58A43C0D" w14:textId="77777777" w:rsidTr="00ED12D2">
        <w:tc>
          <w:tcPr>
            <w:tcW w:w="985" w:type="dxa"/>
          </w:tcPr>
          <w:p w14:paraId="35B3E22F" w14:textId="77777777" w:rsidR="00B9383C" w:rsidRPr="006E7B3F" w:rsidRDefault="00B9383C" w:rsidP="00BD6681">
            <w:pPr>
              <w:pStyle w:val="naisc"/>
              <w:numPr>
                <w:ilvl w:val="0"/>
                <w:numId w:val="1"/>
              </w:numPr>
              <w:spacing w:before="0" w:after="0"/>
              <w:jc w:val="both"/>
              <w:rPr>
                <w:sz w:val="22"/>
                <w:szCs w:val="22"/>
              </w:rPr>
            </w:pPr>
          </w:p>
        </w:tc>
        <w:tc>
          <w:tcPr>
            <w:tcW w:w="3263" w:type="dxa"/>
            <w:gridSpan w:val="2"/>
          </w:tcPr>
          <w:p w14:paraId="50F8E9B5" w14:textId="4AB794EF" w:rsidR="00B9383C" w:rsidRPr="006E7B3F" w:rsidRDefault="00B9383C" w:rsidP="00BD6681">
            <w:pPr>
              <w:jc w:val="both"/>
              <w:rPr>
                <w:sz w:val="22"/>
                <w:szCs w:val="22"/>
              </w:rPr>
            </w:pPr>
          </w:p>
        </w:tc>
        <w:tc>
          <w:tcPr>
            <w:tcW w:w="4536" w:type="dxa"/>
          </w:tcPr>
          <w:p w14:paraId="5A64E9E5" w14:textId="0C0D3E44" w:rsidR="00E723A1" w:rsidRPr="006E7B3F" w:rsidRDefault="001555B5" w:rsidP="00BD6681">
            <w:pPr>
              <w:pStyle w:val="naisc"/>
              <w:spacing w:before="0" w:after="0"/>
              <w:ind w:firstLine="5"/>
              <w:jc w:val="both"/>
              <w:rPr>
                <w:b/>
                <w:sz w:val="22"/>
                <w:szCs w:val="22"/>
              </w:rPr>
            </w:pPr>
            <w:r w:rsidRPr="006E7B3F">
              <w:rPr>
                <w:b/>
                <w:sz w:val="22"/>
                <w:szCs w:val="22"/>
              </w:rPr>
              <w:t xml:space="preserve">Ekonomikas </w:t>
            </w:r>
            <w:r w:rsidR="006B1A76">
              <w:rPr>
                <w:b/>
                <w:sz w:val="22"/>
                <w:szCs w:val="22"/>
              </w:rPr>
              <w:t>ministrijas 2019. gada 4</w:t>
            </w:r>
            <w:r w:rsidR="00E723A1" w:rsidRPr="006E7B3F">
              <w:rPr>
                <w:b/>
                <w:sz w:val="22"/>
                <w:szCs w:val="22"/>
              </w:rPr>
              <w:t>. </w:t>
            </w:r>
            <w:r w:rsidR="006B1A76">
              <w:rPr>
                <w:b/>
                <w:sz w:val="22"/>
                <w:szCs w:val="22"/>
              </w:rPr>
              <w:t>novembra</w:t>
            </w:r>
            <w:r w:rsidR="00E723A1" w:rsidRPr="006E7B3F">
              <w:rPr>
                <w:b/>
                <w:sz w:val="22"/>
                <w:szCs w:val="22"/>
              </w:rPr>
              <w:t xml:space="preserve"> atzinum</w:t>
            </w:r>
            <w:r w:rsidRPr="006E7B3F">
              <w:rPr>
                <w:b/>
                <w:sz w:val="22"/>
                <w:szCs w:val="22"/>
              </w:rPr>
              <w:t>a priekšlikums</w:t>
            </w:r>
            <w:r w:rsidR="00E723A1" w:rsidRPr="006E7B3F">
              <w:rPr>
                <w:b/>
                <w:sz w:val="22"/>
                <w:szCs w:val="22"/>
              </w:rPr>
              <w:t xml:space="preserve">. </w:t>
            </w:r>
          </w:p>
          <w:p w14:paraId="782AAD47" w14:textId="1E5816E0" w:rsidR="00B9383C" w:rsidRPr="006E7B3F" w:rsidRDefault="006E7B3F" w:rsidP="00BD6681">
            <w:pPr>
              <w:rPr>
                <w:sz w:val="22"/>
                <w:szCs w:val="22"/>
              </w:rPr>
            </w:pPr>
            <w:r w:rsidRPr="006E7B3F">
              <w:rPr>
                <w:sz w:val="22"/>
                <w:szCs w:val="22"/>
              </w:rPr>
              <w:lastRenderedPageBreak/>
              <w:t>Izvērtēt iespēju plānošanas reģionu funkcijās ietvert enerģētikas un klimata plānu izstrādi reģionam, kā arī enerģētikas mērķu izpildes monitoringu un ziņošanu.</w:t>
            </w:r>
          </w:p>
        </w:tc>
        <w:tc>
          <w:tcPr>
            <w:tcW w:w="2551" w:type="dxa"/>
            <w:gridSpan w:val="2"/>
          </w:tcPr>
          <w:p w14:paraId="1846658C" w14:textId="1B03EEEA" w:rsidR="00B9383C" w:rsidRPr="006E7B3F" w:rsidRDefault="00870063" w:rsidP="00BD6681">
            <w:pPr>
              <w:jc w:val="both"/>
              <w:rPr>
                <w:sz w:val="22"/>
                <w:szCs w:val="22"/>
              </w:rPr>
            </w:pPr>
            <w:r w:rsidRPr="006E7B3F">
              <w:rPr>
                <w:b/>
                <w:sz w:val="22"/>
                <w:szCs w:val="22"/>
              </w:rPr>
              <w:lastRenderedPageBreak/>
              <w:t>Ņ</w:t>
            </w:r>
            <w:r w:rsidR="00BA7265" w:rsidRPr="006E7B3F">
              <w:rPr>
                <w:b/>
                <w:sz w:val="22"/>
                <w:szCs w:val="22"/>
              </w:rPr>
              <w:t>emts vērā</w:t>
            </w:r>
          </w:p>
        </w:tc>
        <w:tc>
          <w:tcPr>
            <w:tcW w:w="3650" w:type="dxa"/>
          </w:tcPr>
          <w:p w14:paraId="5FB25CF0" w14:textId="726D0DB6" w:rsidR="00B9383C" w:rsidRPr="006E7B3F" w:rsidRDefault="006E7B3F" w:rsidP="00BD6681">
            <w:pPr>
              <w:jc w:val="both"/>
              <w:rPr>
                <w:sz w:val="22"/>
                <w:szCs w:val="22"/>
                <w:lang w:eastAsia="en-US"/>
              </w:rPr>
            </w:pPr>
            <w:r w:rsidRPr="006E7B3F">
              <w:rPr>
                <w:sz w:val="22"/>
                <w:szCs w:val="22"/>
                <w:lang w:eastAsia="en-US"/>
              </w:rPr>
              <w:t xml:space="preserve">Priekšlikums tiks izvērtēts, </w:t>
            </w:r>
            <w:r w:rsidRPr="006E7B3F">
              <w:rPr>
                <w:sz w:val="22"/>
                <w:szCs w:val="22"/>
              </w:rPr>
              <w:t xml:space="preserve">gatavojot konceptuālo  ziņojumu  par  plānošanas </w:t>
            </w:r>
            <w:r w:rsidRPr="006E7B3F">
              <w:rPr>
                <w:sz w:val="22"/>
                <w:szCs w:val="22"/>
              </w:rPr>
              <w:lastRenderedPageBreak/>
              <w:t>reģionu darbības (reģionālā pārvaldes līmeņa) uzlabošanu un kopējas statistiski teritoriālo vienību klasifikācijas (NUTS) izmaiņām.</w:t>
            </w:r>
          </w:p>
        </w:tc>
      </w:tr>
      <w:tr w:rsidR="006B1A76" w:rsidRPr="006E7B3F" w14:paraId="6274390A" w14:textId="77777777" w:rsidTr="00ED12D2">
        <w:tc>
          <w:tcPr>
            <w:tcW w:w="985" w:type="dxa"/>
          </w:tcPr>
          <w:p w14:paraId="688FA69D" w14:textId="77777777" w:rsidR="006B1A76" w:rsidRPr="006E7B3F" w:rsidRDefault="006B1A76" w:rsidP="006B1A76">
            <w:pPr>
              <w:pStyle w:val="naisc"/>
              <w:spacing w:before="0" w:after="0"/>
              <w:ind w:left="615"/>
              <w:jc w:val="both"/>
              <w:rPr>
                <w:sz w:val="22"/>
                <w:szCs w:val="22"/>
              </w:rPr>
            </w:pPr>
          </w:p>
        </w:tc>
        <w:tc>
          <w:tcPr>
            <w:tcW w:w="3263" w:type="dxa"/>
            <w:gridSpan w:val="2"/>
          </w:tcPr>
          <w:p w14:paraId="69F7C9C5" w14:textId="77777777" w:rsidR="006B1A76" w:rsidRPr="006E7B3F" w:rsidRDefault="006B1A76" w:rsidP="00BD6681">
            <w:pPr>
              <w:jc w:val="both"/>
              <w:rPr>
                <w:sz w:val="22"/>
                <w:szCs w:val="22"/>
              </w:rPr>
            </w:pPr>
          </w:p>
        </w:tc>
        <w:tc>
          <w:tcPr>
            <w:tcW w:w="4536" w:type="dxa"/>
          </w:tcPr>
          <w:p w14:paraId="62048A9E" w14:textId="50BF76B9" w:rsidR="006B1A76" w:rsidRPr="006E7B3F" w:rsidRDefault="006B1A76" w:rsidP="00BD6681">
            <w:pPr>
              <w:pStyle w:val="naisc"/>
              <w:spacing w:before="0" w:after="0"/>
              <w:ind w:firstLine="5"/>
              <w:jc w:val="both"/>
              <w:rPr>
                <w:b/>
                <w:sz w:val="22"/>
                <w:szCs w:val="22"/>
              </w:rPr>
            </w:pPr>
            <w:r>
              <w:rPr>
                <w:b/>
                <w:sz w:val="22"/>
                <w:szCs w:val="22"/>
              </w:rPr>
              <w:t>Tieslietu ministrija</w:t>
            </w:r>
          </w:p>
        </w:tc>
        <w:tc>
          <w:tcPr>
            <w:tcW w:w="2551" w:type="dxa"/>
            <w:gridSpan w:val="2"/>
          </w:tcPr>
          <w:p w14:paraId="6346B97F" w14:textId="77777777" w:rsidR="006B1A76" w:rsidRPr="006E7B3F" w:rsidRDefault="006B1A76" w:rsidP="00BD6681">
            <w:pPr>
              <w:jc w:val="both"/>
              <w:rPr>
                <w:b/>
                <w:sz w:val="22"/>
                <w:szCs w:val="22"/>
              </w:rPr>
            </w:pPr>
          </w:p>
        </w:tc>
        <w:tc>
          <w:tcPr>
            <w:tcW w:w="3650" w:type="dxa"/>
          </w:tcPr>
          <w:p w14:paraId="2B471EC5" w14:textId="77777777" w:rsidR="006B1A76" w:rsidRPr="006E7B3F" w:rsidRDefault="006B1A76" w:rsidP="00BD6681">
            <w:pPr>
              <w:jc w:val="both"/>
              <w:rPr>
                <w:sz w:val="22"/>
                <w:szCs w:val="22"/>
                <w:lang w:eastAsia="en-US"/>
              </w:rPr>
            </w:pPr>
          </w:p>
        </w:tc>
      </w:tr>
      <w:tr w:rsidR="006B1A76" w:rsidRPr="006E7B3F" w14:paraId="4F7A7641" w14:textId="77777777" w:rsidTr="00ED12D2">
        <w:tc>
          <w:tcPr>
            <w:tcW w:w="985" w:type="dxa"/>
          </w:tcPr>
          <w:p w14:paraId="6E9D49E7" w14:textId="2A5A4E46" w:rsidR="006B1A76" w:rsidRPr="006E7B3F" w:rsidRDefault="006B1A76" w:rsidP="006B1A76">
            <w:pPr>
              <w:pStyle w:val="naisc"/>
              <w:numPr>
                <w:ilvl w:val="0"/>
                <w:numId w:val="1"/>
              </w:numPr>
              <w:spacing w:before="0" w:after="0"/>
              <w:jc w:val="both"/>
              <w:rPr>
                <w:sz w:val="22"/>
                <w:szCs w:val="22"/>
              </w:rPr>
            </w:pPr>
          </w:p>
        </w:tc>
        <w:tc>
          <w:tcPr>
            <w:tcW w:w="3263" w:type="dxa"/>
            <w:gridSpan w:val="2"/>
          </w:tcPr>
          <w:p w14:paraId="2329065A" w14:textId="77777777" w:rsidR="006B1A76" w:rsidRPr="006E7B3F" w:rsidRDefault="006B1A76" w:rsidP="00BD6681">
            <w:pPr>
              <w:jc w:val="both"/>
              <w:rPr>
                <w:sz w:val="22"/>
                <w:szCs w:val="22"/>
              </w:rPr>
            </w:pPr>
          </w:p>
        </w:tc>
        <w:tc>
          <w:tcPr>
            <w:tcW w:w="4536" w:type="dxa"/>
          </w:tcPr>
          <w:p w14:paraId="73DB952B" w14:textId="6CF3FAED" w:rsidR="006B1A76" w:rsidRDefault="006B1A76" w:rsidP="006B1A76">
            <w:pPr>
              <w:pStyle w:val="naisc"/>
              <w:spacing w:before="0" w:after="0"/>
              <w:ind w:firstLine="5"/>
              <w:jc w:val="both"/>
              <w:rPr>
                <w:b/>
                <w:sz w:val="22"/>
                <w:szCs w:val="22"/>
              </w:rPr>
            </w:pPr>
            <w:r>
              <w:rPr>
                <w:b/>
                <w:sz w:val="22"/>
                <w:szCs w:val="22"/>
              </w:rPr>
              <w:t>Tieslietu ministrijas 2019. gada 5</w:t>
            </w:r>
            <w:r w:rsidRPr="006E7B3F">
              <w:rPr>
                <w:b/>
                <w:sz w:val="22"/>
                <w:szCs w:val="22"/>
              </w:rPr>
              <w:t>. </w:t>
            </w:r>
            <w:r>
              <w:rPr>
                <w:b/>
                <w:sz w:val="22"/>
                <w:szCs w:val="22"/>
              </w:rPr>
              <w:t>novembra</w:t>
            </w:r>
            <w:r w:rsidRPr="006E7B3F">
              <w:rPr>
                <w:b/>
                <w:sz w:val="22"/>
                <w:szCs w:val="22"/>
              </w:rPr>
              <w:t xml:space="preserve"> atzinum</w:t>
            </w:r>
            <w:r w:rsidR="00F568A0">
              <w:rPr>
                <w:b/>
                <w:sz w:val="22"/>
                <w:szCs w:val="22"/>
              </w:rPr>
              <w:t xml:space="preserve">a </w:t>
            </w:r>
            <w:r>
              <w:rPr>
                <w:b/>
                <w:sz w:val="22"/>
                <w:szCs w:val="22"/>
              </w:rPr>
              <w:t>iebildums</w:t>
            </w:r>
          </w:p>
          <w:p w14:paraId="5115DA36" w14:textId="77777777" w:rsidR="00FB06FE" w:rsidRDefault="00FB06FE" w:rsidP="00FB06FE">
            <w:pPr>
              <w:ind w:right="11"/>
              <w:jc w:val="both"/>
            </w:pPr>
            <w:r>
              <w:t xml:space="preserve">Informatīvais ziņojums nesatur </w:t>
            </w:r>
            <w:proofErr w:type="spellStart"/>
            <w:r>
              <w:t>vispusēju</w:t>
            </w:r>
            <w:proofErr w:type="spellEnd"/>
            <w:r>
              <w:t xml:space="preserve"> </w:t>
            </w:r>
            <w:proofErr w:type="spellStart"/>
            <w:r>
              <w:t>izvērtējumu</w:t>
            </w:r>
            <w:proofErr w:type="spellEnd"/>
            <w:r>
              <w:t xml:space="preserve">, kas varētu būt par pamatu informatīvā ziņojuma 5.lpp. paustajam aicinājumam neveidot otrā līmeņa pašvaldības. Proti, informatīvajā ziņojumā nav atspoguļots </w:t>
            </w:r>
            <w:proofErr w:type="spellStart"/>
            <w:r>
              <w:t>izvērtējums</w:t>
            </w:r>
            <w:proofErr w:type="spellEnd"/>
            <w:r>
              <w:t xml:space="preserve"> par otrā līmeņa pašvaldību izveides lietderīgumu, bet gan tiek aprakstītas plānošanas reģionu funkcijas un to tiesiskais regulējums. Iztrūkstot abu risinājumu salīdzinājumam un </w:t>
            </w:r>
            <w:proofErr w:type="spellStart"/>
            <w:r>
              <w:t>izvērtējumam</w:t>
            </w:r>
            <w:proofErr w:type="spellEnd"/>
            <w:r>
              <w:t xml:space="preserve">, ir apšaubāms informatīvajā ziņojumā piedāvātais risinājums. </w:t>
            </w:r>
          </w:p>
          <w:p w14:paraId="4E6123C1" w14:textId="77777777" w:rsidR="00FB06FE" w:rsidRDefault="00FB06FE" w:rsidP="00FB06FE">
            <w:pPr>
              <w:ind w:right="11"/>
              <w:jc w:val="both"/>
            </w:pPr>
            <w:r>
              <w:t xml:space="preserve">Tieslietu ministrijas ieskatā jautājums par valsts pārvaldes administratīvajiem reģioniem ir jāskata vienlaikus ar plānošanas reģionu funkcionālo un finansiālo integrēšanu </w:t>
            </w:r>
            <w:proofErr w:type="spellStart"/>
            <w:r>
              <w:t>jaunizveidotajos</w:t>
            </w:r>
            <w:proofErr w:type="spellEnd"/>
            <w:r>
              <w:t xml:space="preserve"> valsts pārvaldes administratīvajos reģionos (administratīvie reģioni – Rīga, Kurzeme, Latgale, Vidzeme, Zemgale). Tas novērstu iespējamu funkciju dublēšanos, kā arī nodrošinātu zināšanu un pieredzes pārnesi no plānošanas reģioniem uz valsts pārvaldes administratīvajiem reģioniem, tādejādi stiprinot institucionālo augstākā līmeņa atbildību par konkrēto reģionu, kompetenci un kvalitatīvu reģionu </w:t>
            </w:r>
            <w:r>
              <w:lastRenderedPageBreak/>
              <w:t xml:space="preserve">interešu pārstāvniecību </w:t>
            </w:r>
            <w:proofErr w:type="spellStart"/>
            <w:r>
              <w:t>lēmumpieņemšanas</w:t>
            </w:r>
            <w:proofErr w:type="spellEnd"/>
            <w:r>
              <w:t xml:space="preserve"> procesā. Plānošanas reģionu integrācija valsts pārvaldes administratīvajos reģionos, funkciju un uzdevumu precizēšana, kā arī, iespējams, Ministru prezidenta tiešā pārraudzība pār šīm pašvaldībām, preventīvi novērstu iespējamos riskus, kas saistīti ar birokrātiskā sloga pieaugumu valsts pārvaldes administratīvos reģionu izveides gadījumā. Mērķis ir radīt pārvaldes formu, kas veicina kompetentu un atbildīgu reģiona interešu aizstāvību.</w:t>
            </w:r>
          </w:p>
          <w:p w14:paraId="77E55FAB" w14:textId="0A99E782" w:rsidR="006B1A76" w:rsidRPr="00D92D9A" w:rsidRDefault="00FB06FE" w:rsidP="00FB06FE">
            <w:pPr>
              <w:ind w:right="11"/>
              <w:jc w:val="both"/>
            </w:pPr>
            <w:r>
              <w:t>Papildus informējam, ka 13.Saeimas Valsts pārvaldes un pašvaldības komisijas (turpmāk – Komisija) 2019. gada 5. februāra sēdē notika tikšanās ar plānošanas reģionu pārstāvjiem par plānošanas reģionu funkcijām un aktualitātēm reģionālajā politikā. Minētajā sēdē tika norādīts, ka Komisija turpinās atbalstīt plānošanas reģionus, un tie ir labs pamats, lai turpinātu diskusijas par administratīvi teritoriālās reformas turpmāko virzību. Komisija atbalsta administratīvo reģionu izveidi.</w:t>
            </w:r>
          </w:p>
        </w:tc>
        <w:tc>
          <w:tcPr>
            <w:tcW w:w="2551" w:type="dxa"/>
            <w:gridSpan w:val="2"/>
          </w:tcPr>
          <w:p w14:paraId="68809D54" w14:textId="77777777" w:rsidR="00EE2FA2" w:rsidRDefault="00EE2FA2" w:rsidP="00EE2FA2">
            <w:pPr>
              <w:jc w:val="both"/>
              <w:rPr>
                <w:b/>
                <w:sz w:val="22"/>
                <w:szCs w:val="22"/>
              </w:rPr>
            </w:pPr>
            <w:r>
              <w:rPr>
                <w:b/>
                <w:sz w:val="22"/>
                <w:szCs w:val="22"/>
              </w:rPr>
              <w:lastRenderedPageBreak/>
              <w:t xml:space="preserve">Tiks diskutēts saskaņošanas sanāksmē </w:t>
            </w:r>
          </w:p>
          <w:p w14:paraId="35940D12" w14:textId="23860BD5" w:rsidR="006B1A76" w:rsidRPr="006E7B3F" w:rsidRDefault="006B1A76" w:rsidP="00BD6681">
            <w:pPr>
              <w:jc w:val="both"/>
              <w:rPr>
                <w:b/>
                <w:sz w:val="22"/>
                <w:szCs w:val="22"/>
              </w:rPr>
            </w:pPr>
          </w:p>
        </w:tc>
        <w:tc>
          <w:tcPr>
            <w:tcW w:w="3650" w:type="dxa"/>
          </w:tcPr>
          <w:p w14:paraId="1BAB551B" w14:textId="5DD28254" w:rsidR="0007060D" w:rsidRDefault="0007060D" w:rsidP="0007060D">
            <w:pPr>
              <w:jc w:val="both"/>
            </w:pPr>
            <w:r>
              <w:t xml:space="preserve">Ministru kabinetā 2019.gada 15.oktobrī tika apstiprināts </w:t>
            </w:r>
            <w:r w:rsidR="00D75F65" w:rsidRPr="00D75F65">
              <w:t xml:space="preserve">Administratīvo teritoriju un apdzīvoto vietu </w:t>
            </w:r>
            <w:r>
              <w:t xml:space="preserve">likumprojekts, kas </w:t>
            </w:r>
            <w:r w:rsidRPr="0007060D">
              <w:t>nav noteicis administratīvi teritoriālo iedalījumu reģionālā līmenī, līdz ar to šis informatīvais ziņojums paredz sagatavot konceptuālo  ziņojumu  par  plānošanas reģionu darbības (reģionālā pārvaldes līmeņa) uzlabošanu un kopējas statistiski teritoriālo vienību klasifikācijas (NUTS) izmaiņām.</w:t>
            </w:r>
          </w:p>
          <w:p w14:paraId="0BC63F63" w14:textId="4E291552" w:rsidR="006B1A76" w:rsidRPr="00D92D9A" w:rsidRDefault="00D92D9A" w:rsidP="00D92D9A">
            <w:pPr>
              <w:pStyle w:val="NoSpacing"/>
              <w:spacing w:beforeLines="60" w:before="144" w:afterLines="60" w:after="144"/>
              <w:jc w:val="both"/>
              <w:rPr>
                <w:rFonts w:ascii="Times New Roman" w:hAnsi="Times New Roman"/>
                <w:sz w:val="24"/>
                <w:szCs w:val="24"/>
              </w:rPr>
            </w:pPr>
            <w:r>
              <w:rPr>
                <w:rFonts w:ascii="Times New Roman" w:hAnsi="Times New Roman"/>
                <w:sz w:val="24"/>
                <w:szCs w:val="24"/>
              </w:rPr>
              <w:t>S</w:t>
            </w:r>
            <w:r w:rsidRPr="008E6D97">
              <w:rPr>
                <w:rFonts w:ascii="Times New Roman" w:hAnsi="Times New Roman"/>
                <w:sz w:val="24"/>
                <w:szCs w:val="24"/>
              </w:rPr>
              <w:t>agatavojot risinājumus plānošanas reģionu darbības uzlabošanai</w:t>
            </w:r>
            <w:r w:rsidRPr="00043B30">
              <w:rPr>
                <w:rFonts w:ascii="Times New Roman" w:hAnsi="Times New Roman"/>
                <w:sz w:val="24"/>
                <w:szCs w:val="24"/>
              </w:rPr>
              <w:t xml:space="preserve"> konceptuāl</w:t>
            </w:r>
            <w:r>
              <w:rPr>
                <w:rFonts w:ascii="Times New Roman" w:hAnsi="Times New Roman"/>
                <w:sz w:val="24"/>
                <w:szCs w:val="24"/>
              </w:rPr>
              <w:t>ā</w:t>
            </w:r>
            <w:r w:rsidRPr="00043B30">
              <w:rPr>
                <w:rFonts w:ascii="Times New Roman" w:hAnsi="Times New Roman"/>
                <w:sz w:val="24"/>
                <w:szCs w:val="24"/>
              </w:rPr>
              <w:t xml:space="preserve">  ziņojum</w:t>
            </w:r>
            <w:r>
              <w:rPr>
                <w:rFonts w:ascii="Times New Roman" w:hAnsi="Times New Roman"/>
                <w:sz w:val="24"/>
                <w:szCs w:val="24"/>
              </w:rPr>
              <w:t>a</w:t>
            </w:r>
            <w:r w:rsidRPr="00043B30">
              <w:rPr>
                <w:rFonts w:ascii="Times New Roman" w:hAnsi="Times New Roman"/>
                <w:sz w:val="24"/>
                <w:szCs w:val="24"/>
              </w:rPr>
              <w:t xml:space="preserve">  par  plānošanas reģionu darbības (reģionālā pārvaldes līmeņa) uzlabošanu un kopējas statistiski teritoriālo vienību klasifikācijas (NUTS) izmaiņām</w:t>
            </w:r>
            <w:r>
              <w:rPr>
                <w:rFonts w:ascii="Times New Roman" w:hAnsi="Times New Roman"/>
                <w:sz w:val="24"/>
                <w:szCs w:val="24"/>
              </w:rPr>
              <w:t xml:space="preserve"> ietvaros</w:t>
            </w:r>
            <w:r w:rsidRPr="008E6D97">
              <w:rPr>
                <w:rFonts w:ascii="Times New Roman" w:hAnsi="Times New Roman"/>
                <w:sz w:val="24"/>
                <w:szCs w:val="24"/>
              </w:rPr>
              <w:t xml:space="preserve">, tiks </w:t>
            </w:r>
            <w:r>
              <w:rPr>
                <w:rFonts w:ascii="Times New Roman" w:hAnsi="Times New Roman"/>
                <w:sz w:val="24"/>
                <w:szCs w:val="24"/>
              </w:rPr>
              <w:t>sniegts</w:t>
            </w:r>
            <w:r w:rsidRPr="008E6D97">
              <w:rPr>
                <w:rFonts w:ascii="Times New Roman" w:hAnsi="Times New Roman"/>
                <w:sz w:val="24"/>
                <w:szCs w:val="24"/>
              </w:rPr>
              <w:t xml:space="preserve"> arī vērtējums par </w:t>
            </w:r>
            <w:proofErr w:type="spellStart"/>
            <w:r w:rsidRPr="008E6D97">
              <w:rPr>
                <w:rFonts w:ascii="Times New Roman" w:hAnsi="Times New Roman"/>
                <w:sz w:val="24"/>
                <w:szCs w:val="24"/>
              </w:rPr>
              <w:t>apriņķu</w:t>
            </w:r>
            <w:proofErr w:type="spellEnd"/>
            <w:r w:rsidRPr="008E6D97">
              <w:rPr>
                <w:rFonts w:ascii="Times New Roman" w:hAnsi="Times New Roman"/>
                <w:sz w:val="24"/>
                <w:szCs w:val="24"/>
              </w:rPr>
              <w:t xml:space="preserve"> (reģionālo) pašvaldību</w:t>
            </w:r>
            <w:r>
              <w:rPr>
                <w:rFonts w:ascii="Times New Roman" w:hAnsi="Times New Roman"/>
                <w:sz w:val="24"/>
                <w:szCs w:val="24"/>
              </w:rPr>
              <w:t xml:space="preserve"> izveides</w:t>
            </w:r>
            <w:r w:rsidRPr="008E6D97">
              <w:rPr>
                <w:rFonts w:ascii="Times New Roman" w:hAnsi="Times New Roman"/>
                <w:sz w:val="24"/>
                <w:szCs w:val="24"/>
              </w:rPr>
              <w:t xml:space="preserve"> nepieciešamību.</w:t>
            </w:r>
          </w:p>
        </w:tc>
      </w:tr>
      <w:tr w:rsidR="006B1A76" w:rsidRPr="006E7B3F" w14:paraId="316B1399" w14:textId="77777777" w:rsidTr="00ED12D2">
        <w:tc>
          <w:tcPr>
            <w:tcW w:w="985" w:type="dxa"/>
          </w:tcPr>
          <w:p w14:paraId="105FCC67" w14:textId="77777777" w:rsidR="006B1A76" w:rsidRPr="006E7B3F" w:rsidRDefault="006B1A76" w:rsidP="006B1A76">
            <w:pPr>
              <w:pStyle w:val="naisc"/>
              <w:numPr>
                <w:ilvl w:val="0"/>
                <w:numId w:val="1"/>
              </w:numPr>
              <w:spacing w:before="0" w:after="0"/>
              <w:jc w:val="both"/>
              <w:rPr>
                <w:sz w:val="22"/>
                <w:szCs w:val="22"/>
              </w:rPr>
            </w:pPr>
          </w:p>
        </w:tc>
        <w:tc>
          <w:tcPr>
            <w:tcW w:w="3263" w:type="dxa"/>
            <w:gridSpan w:val="2"/>
          </w:tcPr>
          <w:p w14:paraId="46313826" w14:textId="77777777" w:rsidR="006B1A76" w:rsidRPr="006E7B3F" w:rsidRDefault="006B1A76" w:rsidP="00BD6681">
            <w:pPr>
              <w:jc w:val="both"/>
              <w:rPr>
                <w:sz w:val="22"/>
                <w:szCs w:val="22"/>
              </w:rPr>
            </w:pPr>
          </w:p>
        </w:tc>
        <w:tc>
          <w:tcPr>
            <w:tcW w:w="4536" w:type="dxa"/>
          </w:tcPr>
          <w:p w14:paraId="41524FC2" w14:textId="77777777" w:rsidR="00F568A0" w:rsidRDefault="00F568A0" w:rsidP="00F568A0">
            <w:pPr>
              <w:pStyle w:val="naisc"/>
              <w:spacing w:before="0" w:after="0"/>
              <w:ind w:firstLine="5"/>
              <w:jc w:val="both"/>
              <w:rPr>
                <w:b/>
                <w:sz w:val="22"/>
                <w:szCs w:val="22"/>
              </w:rPr>
            </w:pPr>
            <w:r>
              <w:rPr>
                <w:b/>
                <w:sz w:val="22"/>
                <w:szCs w:val="22"/>
              </w:rPr>
              <w:t>Tieslietu ministrijas 2019. gada 5</w:t>
            </w:r>
            <w:r w:rsidRPr="006E7B3F">
              <w:rPr>
                <w:b/>
                <w:sz w:val="22"/>
                <w:szCs w:val="22"/>
              </w:rPr>
              <w:t>. </w:t>
            </w:r>
            <w:r>
              <w:rPr>
                <w:b/>
                <w:sz w:val="22"/>
                <w:szCs w:val="22"/>
              </w:rPr>
              <w:t>novembra</w:t>
            </w:r>
            <w:r w:rsidRPr="006E7B3F">
              <w:rPr>
                <w:b/>
                <w:sz w:val="22"/>
                <w:szCs w:val="22"/>
              </w:rPr>
              <w:t xml:space="preserve"> atzinum</w:t>
            </w:r>
            <w:r>
              <w:rPr>
                <w:b/>
                <w:sz w:val="22"/>
                <w:szCs w:val="22"/>
              </w:rPr>
              <w:t>a priekšlikums</w:t>
            </w:r>
          </w:p>
          <w:p w14:paraId="6943F480" w14:textId="7DD8191E" w:rsidR="006B1A76" w:rsidRPr="00D92D9A" w:rsidRDefault="006B1A76" w:rsidP="00D92D9A">
            <w:pPr>
              <w:ind w:right="11"/>
              <w:jc w:val="both"/>
            </w:pPr>
            <w:r w:rsidRPr="00DD2027">
              <w:t xml:space="preserve">Vienlaikus izsakām priekšlikumu precizēt informatīvā ziņojuma 4. lpp. pēdējo teikumu, proti, vai no valsts budžeta 100% finansēta tiek Eiropas Savienības (turpmāk – ES) un citu ārvalstu finanšu instrumentu projektu līdzfinansējuma daļa. Šobrīd teikuma </w:t>
            </w:r>
            <w:r w:rsidRPr="00DD2027">
              <w:lastRenderedPageBreak/>
              <w:t>redakcija ir neprecīza un var pārprast tādējādi, ka valsts 100% finansē ES un citu ārvalstu finanšu instrumentu projektus.</w:t>
            </w:r>
          </w:p>
        </w:tc>
        <w:tc>
          <w:tcPr>
            <w:tcW w:w="2551" w:type="dxa"/>
            <w:gridSpan w:val="2"/>
          </w:tcPr>
          <w:p w14:paraId="6F07C583" w14:textId="68CB37B1" w:rsidR="006B1A76" w:rsidRPr="006E7B3F" w:rsidRDefault="00BB5132" w:rsidP="00BD6681">
            <w:pPr>
              <w:jc w:val="both"/>
              <w:rPr>
                <w:b/>
                <w:sz w:val="22"/>
                <w:szCs w:val="22"/>
              </w:rPr>
            </w:pPr>
            <w:r w:rsidRPr="006E7B3F">
              <w:rPr>
                <w:b/>
                <w:sz w:val="22"/>
                <w:szCs w:val="22"/>
              </w:rPr>
              <w:lastRenderedPageBreak/>
              <w:t>Ņemts vērā</w:t>
            </w:r>
          </w:p>
        </w:tc>
        <w:tc>
          <w:tcPr>
            <w:tcW w:w="3650" w:type="dxa"/>
          </w:tcPr>
          <w:p w14:paraId="21E66AEE" w14:textId="05AFB5CD" w:rsidR="006B1A76" w:rsidRDefault="008C71F7" w:rsidP="00BD6681">
            <w:pPr>
              <w:jc w:val="both"/>
            </w:pPr>
            <w:r>
              <w:t>Skaidrojam, ka v</w:t>
            </w:r>
            <w:r w:rsidR="00CF431E">
              <w:t>alsts budžeta finansējumu</w:t>
            </w:r>
            <w:r w:rsidR="00BB5132" w:rsidRPr="00BB5132">
              <w:t xml:space="preserve"> PR vairumā pārrobežu programmu piešķir projektam  15% līdzfinansējumu un 85% </w:t>
            </w:r>
            <w:proofErr w:type="spellStart"/>
            <w:r w:rsidR="00BB5132" w:rsidRPr="00BB5132">
              <w:t>priekšfinansējumu</w:t>
            </w:r>
            <w:proofErr w:type="spellEnd"/>
            <w:r w:rsidR="00BB5132" w:rsidRPr="00BB5132">
              <w:t xml:space="preserve">. </w:t>
            </w:r>
          </w:p>
          <w:p w14:paraId="18312BD4" w14:textId="375B3B92" w:rsidR="008C71F7" w:rsidRPr="006E7B3F" w:rsidRDefault="008C71F7" w:rsidP="00BD6681">
            <w:pPr>
              <w:jc w:val="both"/>
              <w:rPr>
                <w:sz w:val="22"/>
                <w:szCs w:val="22"/>
                <w:lang w:eastAsia="en-US"/>
              </w:rPr>
            </w:pPr>
            <w:r>
              <w:t>Informatīvā  ziņojuma attiecīgais teikums izteikts sekojošā redakcijā: “</w:t>
            </w:r>
            <w:r w:rsidRPr="004C5D8A">
              <w:t xml:space="preserve">Vienlaikus PR no valsts budžeta </w:t>
            </w:r>
            <w:r w:rsidRPr="004C5D8A">
              <w:lastRenderedPageBreak/>
              <w:t>tiek piešķirts finansējums ES un citiem ārvalstu finansētajiem projektiem</w:t>
            </w:r>
            <w:r>
              <w:t xml:space="preserve"> līdzfinansējumam un </w:t>
            </w:r>
            <w:proofErr w:type="spellStart"/>
            <w:r>
              <w:t>priekšfinansējumam</w:t>
            </w:r>
            <w:proofErr w:type="spellEnd"/>
            <w:r w:rsidRPr="004C5D8A">
              <w:t>.</w:t>
            </w:r>
            <w:r>
              <w:t>”</w:t>
            </w:r>
          </w:p>
        </w:tc>
      </w:tr>
      <w:tr w:rsidR="00FB06FE" w:rsidRPr="006E7B3F" w14:paraId="50558EB3" w14:textId="77777777" w:rsidTr="00ED12D2">
        <w:tc>
          <w:tcPr>
            <w:tcW w:w="985" w:type="dxa"/>
          </w:tcPr>
          <w:p w14:paraId="6AF7B5D7" w14:textId="77777777" w:rsidR="00FB06FE" w:rsidRPr="006E7B3F" w:rsidRDefault="00FB06FE" w:rsidP="00FB06FE">
            <w:pPr>
              <w:pStyle w:val="naisc"/>
              <w:spacing w:before="0" w:after="0"/>
              <w:ind w:left="615"/>
              <w:jc w:val="both"/>
              <w:rPr>
                <w:sz w:val="22"/>
                <w:szCs w:val="22"/>
              </w:rPr>
            </w:pPr>
          </w:p>
        </w:tc>
        <w:tc>
          <w:tcPr>
            <w:tcW w:w="3263" w:type="dxa"/>
            <w:gridSpan w:val="2"/>
          </w:tcPr>
          <w:p w14:paraId="3C07E2D4" w14:textId="77777777" w:rsidR="00FB06FE" w:rsidRPr="006E7B3F" w:rsidRDefault="00FB06FE" w:rsidP="00BD6681">
            <w:pPr>
              <w:jc w:val="both"/>
              <w:rPr>
                <w:sz w:val="22"/>
                <w:szCs w:val="22"/>
              </w:rPr>
            </w:pPr>
          </w:p>
        </w:tc>
        <w:tc>
          <w:tcPr>
            <w:tcW w:w="4536" w:type="dxa"/>
          </w:tcPr>
          <w:p w14:paraId="1595C43F" w14:textId="094AA589" w:rsidR="00FB06FE" w:rsidRDefault="00FB06FE" w:rsidP="00F568A0">
            <w:pPr>
              <w:pStyle w:val="naisc"/>
              <w:spacing w:before="0" w:after="0"/>
              <w:ind w:firstLine="5"/>
              <w:jc w:val="both"/>
              <w:rPr>
                <w:b/>
                <w:sz w:val="22"/>
                <w:szCs w:val="22"/>
              </w:rPr>
            </w:pPr>
            <w:r>
              <w:rPr>
                <w:b/>
                <w:sz w:val="22"/>
                <w:szCs w:val="22"/>
              </w:rPr>
              <w:t>Veselības ministrija</w:t>
            </w:r>
          </w:p>
        </w:tc>
        <w:tc>
          <w:tcPr>
            <w:tcW w:w="2551" w:type="dxa"/>
            <w:gridSpan w:val="2"/>
          </w:tcPr>
          <w:p w14:paraId="2D966793" w14:textId="77777777" w:rsidR="00FB06FE" w:rsidRPr="006E7B3F" w:rsidRDefault="00FB06FE" w:rsidP="00BD6681">
            <w:pPr>
              <w:jc w:val="both"/>
              <w:rPr>
                <w:b/>
                <w:sz w:val="22"/>
                <w:szCs w:val="22"/>
              </w:rPr>
            </w:pPr>
          </w:p>
        </w:tc>
        <w:tc>
          <w:tcPr>
            <w:tcW w:w="3650" w:type="dxa"/>
          </w:tcPr>
          <w:p w14:paraId="7E103F33" w14:textId="77777777" w:rsidR="00FB06FE" w:rsidRDefault="00FB06FE" w:rsidP="00BD6681">
            <w:pPr>
              <w:jc w:val="both"/>
            </w:pPr>
          </w:p>
        </w:tc>
      </w:tr>
      <w:tr w:rsidR="00FB06FE" w:rsidRPr="006E7B3F" w14:paraId="0661E5E5" w14:textId="77777777" w:rsidTr="00ED12D2">
        <w:tc>
          <w:tcPr>
            <w:tcW w:w="985" w:type="dxa"/>
          </w:tcPr>
          <w:p w14:paraId="6C3B9BEF" w14:textId="77777777" w:rsidR="00FB06FE" w:rsidRPr="006E7B3F" w:rsidRDefault="00FB06FE" w:rsidP="006B1A76">
            <w:pPr>
              <w:pStyle w:val="naisc"/>
              <w:numPr>
                <w:ilvl w:val="0"/>
                <w:numId w:val="1"/>
              </w:numPr>
              <w:spacing w:before="0" w:after="0"/>
              <w:jc w:val="both"/>
              <w:rPr>
                <w:sz w:val="22"/>
                <w:szCs w:val="22"/>
              </w:rPr>
            </w:pPr>
          </w:p>
        </w:tc>
        <w:tc>
          <w:tcPr>
            <w:tcW w:w="3263" w:type="dxa"/>
            <w:gridSpan w:val="2"/>
          </w:tcPr>
          <w:p w14:paraId="45DA0CFF" w14:textId="77777777" w:rsidR="00FB06FE" w:rsidRPr="006E7B3F" w:rsidRDefault="00FB06FE" w:rsidP="00BD6681">
            <w:pPr>
              <w:jc w:val="both"/>
              <w:rPr>
                <w:sz w:val="22"/>
                <w:szCs w:val="22"/>
              </w:rPr>
            </w:pPr>
          </w:p>
        </w:tc>
        <w:tc>
          <w:tcPr>
            <w:tcW w:w="4536" w:type="dxa"/>
          </w:tcPr>
          <w:p w14:paraId="6518586C" w14:textId="39D37CD8" w:rsidR="00FB06FE" w:rsidRDefault="00FB06FE" w:rsidP="00F568A0">
            <w:pPr>
              <w:pStyle w:val="naisc"/>
              <w:spacing w:before="0" w:after="0"/>
              <w:ind w:firstLine="5"/>
              <w:jc w:val="both"/>
              <w:rPr>
                <w:b/>
                <w:sz w:val="22"/>
                <w:szCs w:val="22"/>
              </w:rPr>
            </w:pPr>
            <w:r>
              <w:rPr>
                <w:b/>
                <w:sz w:val="22"/>
                <w:szCs w:val="22"/>
              </w:rPr>
              <w:t>Veselības ministrijas 2019.gada 6.novembra atzinuma iebildums</w:t>
            </w:r>
          </w:p>
          <w:p w14:paraId="59315F23" w14:textId="73BF0F59" w:rsidR="00FB06FE" w:rsidRPr="00FB06FE" w:rsidRDefault="00FB06FE" w:rsidP="00FB06FE">
            <w:pPr>
              <w:jc w:val="both"/>
              <w:rPr>
                <w:szCs w:val="28"/>
                <w:lang w:eastAsia="en-US"/>
              </w:rPr>
            </w:pPr>
            <w:r w:rsidRPr="00FB06FE">
              <w:t xml:space="preserve">Lūdzam līdz 2019. gada 1. aprīlim pagarināt </w:t>
            </w:r>
            <w:proofErr w:type="spellStart"/>
            <w:r w:rsidRPr="00FB06FE">
              <w:t>Protokollēmuma</w:t>
            </w:r>
            <w:proofErr w:type="spellEnd"/>
            <w:r w:rsidRPr="00FB06FE">
              <w:t xml:space="preserve"> 1. punktā dotā uzdevuma - iesniegt Vides aizsardzības un reģionālās attīstības ministrijai informāciju par to, kādu kompetenci vai uzdevumus ministrija būtu gatava nodot plānošanas reģioniem (reģionālajam pārvaldes līmenim), norādot finansējuma avotus – izpildes termiņu. Termiņa pagarinājumu pamato fakts, ka Veselības ministrija ir uzsākusi Sabiedrības veselības pamatnostādņu 2021. – 2027. gadam izstrādi, kuras Ministru kabinetā jāapstiprina līdz 2020.gada 30.jūnijam. Jautājums par kādu kompetenču vai uzdevumu nodošanu plānošanas reģioniem būtu vērtējams pamatnostādņu izstrādes ietvaros.</w:t>
            </w:r>
          </w:p>
        </w:tc>
        <w:tc>
          <w:tcPr>
            <w:tcW w:w="2551" w:type="dxa"/>
            <w:gridSpan w:val="2"/>
          </w:tcPr>
          <w:p w14:paraId="7374C484" w14:textId="77777777" w:rsidR="00FB06FE" w:rsidRDefault="00FB06FE" w:rsidP="00BD6681">
            <w:pPr>
              <w:jc w:val="both"/>
              <w:rPr>
                <w:b/>
                <w:sz w:val="22"/>
                <w:szCs w:val="22"/>
              </w:rPr>
            </w:pPr>
            <w:r>
              <w:rPr>
                <w:b/>
                <w:sz w:val="22"/>
                <w:szCs w:val="22"/>
              </w:rPr>
              <w:t xml:space="preserve">Tiks diskutēts saskaņošanas sanāksmē </w:t>
            </w:r>
          </w:p>
          <w:p w14:paraId="61A3FCC1" w14:textId="77777777" w:rsidR="00FB06FE" w:rsidRDefault="00FB06FE" w:rsidP="00BD6681">
            <w:pPr>
              <w:jc w:val="both"/>
              <w:rPr>
                <w:b/>
                <w:sz w:val="22"/>
                <w:szCs w:val="22"/>
              </w:rPr>
            </w:pPr>
          </w:p>
          <w:p w14:paraId="561BAD03" w14:textId="7DCD364D" w:rsidR="00FB06FE" w:rsidRPr="00FB06FE" w:rsidRDefault="00FB06FE" w:rsidP="00BD6681">
            <w:pPr>
              <w:jc w:val="both"/>
              <w:rPr>
                <w:sz w:val="22"/>
                <w:szCs w:val="22"/>
              </w:rPr>
            </w:pPr>
            <w:r>
              <w:rPr>
                <w:sz w:val="22"/>
                <w:szCs w:val="22"/>
              </w:rPr>
              <w:t>Jautājums ir risināms kontekstā ar Saeimā izskatāmo administratīvo teritoriju un apdzīvoto vietu likumprojektu</w:t>
            </w:r>
            <w:r w:rsidR="009D57B5">
              <w:rPr>
                <w:sz w:val="22"/>
                <w:szCs w:val="22"/>
              </w:rPr>
              <w:t xml:space="preserve">. </w:t>
            </w:r>
          </w:p>
        </w:tc>
        <w:tc>
          <w:tcPr>
            <w:tcW w:w="3650" w:type="dxa"/>
          </w:tcPr>
          <w:p w14:paraId="7EC92A1F" w14:textId="77777777" w:rsidR="00FB06FE" w:rsidRDefault="00FB06FE" w:rsidP="00BD6681">
            <w:pPr>
              <w:jc w:val="both"/>
            </w:pPr>
          </w:p>
        </w:tc>
      </w:tr>
      <w:tr w:rsidR="00DB27D7" w:rsidRPr="006E7B3F" w14:paraId="3F6CCEB6" w14:textId="77777777" w:rsidTr="00ED12D2">
        <w:tc>
          <w:tcPr>
            <w:tcW w:w="985" w:type="dxa"/>
          </w:tcPr>
          <w:p w14:paraId="12C83361" w14:textId="72051334" w:rsidR="00DB27D7" w:rsidRPr="006E7B3F" w:rsidRDefault="00DB27D7" w:rsidP="00BD6681">
            <w:pPr>
              <w:pStyle w:val="naisc"/>
              <w:spacing w:before="0" w:after="0"/>
              <w:ind w:left="615"/>
              <w:jc w:val="both"/>
              <w:rPr>
                <w:sz w:val="22"/>
                <w:szCs w:val="22"/>
              </w:rPr>
            </w:pPr>
          </w:p>
        </w:tc>
        <w:tc>
          <w:tcPr>
            <w:tcW w:w="3263" w:type="dxa"/>
            <w:gridSpan w:val="2"/>
          </w:tcPr>
          <w:p w14:paraId="2567D2B4" w14:textId="77777777" w:rsidR="00DB27D7" w:rsidRPr="006E7B3F" w:rsidRDefault="00DB27D7" w:rsidP="00BD6681">
            <w:pPr>
              <w:jc w:val="both"/>
              <w:rPr>
                <w:b/>
                <w:i/>
                <w:sz w:val="22"/>
                <w:szCs w:val="22"/>
              </w:rPr>
            </w:pPr>
          </w:p>
        </w:tc>
        <w:tc>
          <w:tcPr>
            <w:tcW w:w="4536" w:type="dxa"/>
          </w:tcPr>
          <w:p w14:paraId="0F570CB1" w14:textId="5CC68745" w:rsidR="00EF4050" w:rsidRPr="006E7B3F" w:rsidRDefault="00EF4050" w:rsidP="00BD6681">
            <w:pPr>
              <w:jc w:val="both"/>
              <w:rPr>
                <w:b/>
                <w:sz w:val="22"/>
                <w:szCs w:val="22"/>
              </w:rPr>
            </w:pPr>
            <w:r w:rsidRPr="006E7B3F">
              <w:rPr>
                <w:b/>
                <w:sz w:val="22"/>
                <w:szCs w:val="22"/>
              </w:rPr>
              <w:t>Latvijas Pašvaldību savienība</w:t>
            </w:r>
          </w:p>
        </w:tc>
        <w:tc>
          <w:tcPr>
            <w:tcW w:w="2551" w:type="dxa"/>
            <w:gridSpan w:val="2"/>
          </w:tcPr>
          <w:p w14:paraId="198EAEBB" w14:textId="77777777" w:rsidR="00DB27D7" w:rsidRPr="006E7B3F" w:rsidRDefault="00DB27D7" w:rsidP="00BD6681">
            <w:pPr>
              <w:pStyle w:val="naisc"/>
              <w:spacing w:before="0" w:after="0"/>
              <w:jc w:val="both"/>
              <w:rPr>
                <w:sz w:val="22"/>
                <w:szCs w:val="22"/>
              </w:rPr>
            </w:pPr>
          </w:p>
        </w:tc>
        <w:tc>
          <w:tcPr>
            <w:tcW w:w="3650" w:type="dxa"/>
          </w:tcPr>
          <w:p w14:paraId="11D1F9E7" w14:textId="77777777" w:rsidR="00DB27D7" w:rsidRPr="006E7B3F" w:rsidRDefault="00DB27D7" w:rsidP="00BD6681">
            <w:pPr>
              <w:jc w:val="both"/>
              <w:rPr>
                <w:sz w:val="22"/>
                <w:szCs w:val="22"/>
              </w:rPr>
            </w:pPr>
          </w:p>
        </w:tc>
      </w:tr>
      <w:tr w:rsidR="00DB27D7" w:rsidRPr="006E7B3F" w14:paraId="2B1CC942" w14:textId="77777777" w:rsidTr="00ED12D2">
        <w:tc>
          <w:tcPr>
            <w:tcW w:w="985" w:type="dxa"/>
          </w:tcPr>
          <w:p w14:paraId="4C42F402" w14:textId="77777777" w:rsidR="00DB27D7" w:rsidRPr="006E7B3F" w:rsidRDefault="00DB27D7" w:rsidP="00BD6681">
            <w:pPr>
              <w:pStyle w:val="naisc"/>
              <w:numPr>
                <w:ilvl w:val="0"/>
                <w:numId w:val="1"/>
              </w:numPr>
              <w:spacing w:before="0" w:after="0"/>
              <w:jc w:val="both"/>
              <w:rPr>
                <w:sz w:val="22"/>
                <w:szCs w:val="22"/>
              </w:rPr>
            </w:pPr>
          </w:p>
        </w:tc>
        <w:tc>
          <w:tcPr>
            <w:tcW w:w="3263" w:type="dxa"/>
            <w:gridSpan w:val="2"/>
          </w:tcPr>
          <w:p w14:paraId="3F97CD0A" w14:textId="6528CD3A" w:rsidR="00DB27D7" w:rsidRPr="006E7B3F" w:rsidRDefault="00563D81" w:rsidP="00BD6681">
            <w:pPr>
              <w:jc w:val="both"/>
              <w:rPr>
                <w:b/>
                <w:sz w:val="22"/>
                <w:szCs w:val="22"/>
              </w:rPr>
            </w:pPr>
            <w:r w:rsidRPr="006E7B3F">
              <w:rPr>
                <w:b/>
                <w:sz w:val="22"/>
                <w:szCs w:val="22"/>
              </w:rPr>
              <w:t>Konceptuāls iebildums</w:t>
            </w:r>
          </w:p>
        </w:tc>
        <w:tc>
          <w:tcPr>
            <w:tcW w:w="4536" w:type="dxa"/>
          </w:tcPr>
          <w:p w14:paraId="573FCD9A" w14:textId="3D9DF603" w:rsidR="00FE4445" w:rsidRPr="006E7B3F" w:rsidRDefault="00FE4445" w:rsidP="00BD6681">
            <w:pPr>
              <w:pStyle w:val="naisc"/>
              <w:spacing w:before="0" w:after="0"/>
              <w:ind w:firstLine="5"/>
              <w:jc w:val="both"/>
              <w:rPr>
                <w:b/>
                <w:sz w:val="22"/>
                <w:szCs w:val="22"/>
              </w:rPr>
            </w:pPr>
            <w:r w:rsidRPr="006E7B3F">
              <w:rPr>
                <w:b/>
                <w:sz w:val="22"/>
                <w:szCs w:val="22"/>
              </w:rPr>
              <w:t>Latvijas Pašv</w:t>
            </w:r>
            <w:r w:rsidR="00123DA4" w:rsidRPr="006E7B3F">
              <w:rPr>
                <w:b/>
                <w:sz w:val="22"/>
                <w:szCs w:val="22"/>
              </w:rPr>
              <w:t>aldību savienības  2019. gada 1. novembra</w:t>
            </w:r>
            <w:r w:rsidRPr="006E7B3F">
              <w:rPr>
                <w:b/>
                <w:sz w:val="22"/>
                <w:szCs w:val="22"/>
              </w:rPr>
              <w:t xml:space="preserve"> atzinums, 1. iebildums. </w:t>
            </w:r>
          </w:p>
          <w:p w14:paraId="00463322" w14:textId="77777777" w:rsidR="00AD5E34" w:rsidRPr="006E7B3F" w:rsidRDefault="00AD5E34" w:rsidP="00BD6681">
            <w:pPr>
              <w:jc w:val="both"/>
              <w:rPr>
                <w:sz w:val="22"/>
                <w:szCs w:val="22"/>
              </w:rPr>
            </w:pPr>
            <w:r w:rsidRPr="006E7B3F">
              <w:rPr>
                <w:sz w:val="22"/>
                <w:szCs w:val="22"/>
              </w:rPr>
              <w:t xml:space="preserve">2019.gada 13.augusta LPS valdē tika  pieņemts  lēmums, kas nosūtīts arī VARAM: </w:t>
            </w:r>
          </w:p>
          <w:p w14:paraId="20245274" w14:textId="77777777" w:rsidR="00AD5E34" w:rsidRPr="006E7B3F" w:rsidRDefault="00AD5E34" w:rsidP="00BD6681">
            <w:pPr>
              <w:jc w:val="both"/>
              <w:rPr>
                <w:sz w:val="22"/>
                <w:szCs w:val="22"/>
              </w:rPr>
            </w:pPr>
            <w:r w:rsidRPr="006E7B3F">
              <w:rPr>
                <w:sz w:val="22"/>
                <w:szCs w:val="22"/>
              </w:rPr>
              <w:t xml:space="preserve">“aicināt VARAM atsākt diskusijas un par to pamatu izmantot zinātnieku izstrādāto piedāvājumu “Latvijas teritoriju attīstības pārvaldes reforma”, izveidojot 2.līmeņa </w:t>
            </w:r>
            <w:r w:rsidRPr="006E7B3F">
              <w:rPr>
                <w:sz w:val="22"/>
                <w:szCs w:val="22"/>
              </w:rPr>
              <w:lastRenderedPageBreak/>
              <w:t>pašvaldības, pārdalot funkcijas un veicot arī valsts pārvaldes reformu.”</w:t>
            </w:r>
          </w:p>
          <w:p w14:paraId="3DA1CA15" w14:textId="2C4C1643" w:rsidR="00DB27D7" w:rsidRPr="006E7B3F" w:rsidRDefault="00AD5E34" w:rsidP="00BD6681">
            <w:pPr>
              <w:jc w:val="both"/>
              <w:rPr>
                <w:sz w:val="22"/>
                <w:szCs w:val="22"/>
              </w:rPr>
            </w:pPr>
            <w:r w:rsidRPr="006E7B3F">
              <w:rPr>
                <w:sz w:val="22"/>
                <w:szCs w:val="22"/>
              </w:rPr>
              <w:t>Zinātnieku piedāvājums vairākkārt VARAM nosūtīts, šajā dokumentā nekas no tā netiek atspoguļots, diskusijas un sarunas ar LPS nav notikušas.</w:t>
            </w:r>
          </w:p>
        </w:tc>
        <w:tc>
          <w:tcPr>
            <w:tcW w:w="2551" w:type="dxa"/>
            <w:gridSpan w:val="2"/>
          </w:tcPr>
          <w:p w14:paraId="02D24C1E" w14:textId="7F1EB1B9" w:rsidR="00DB27D7" w:rsidRPr="006E7B3F" w:rsidRDefault="00BA7265" w:rsidP="00BD6681">
            <w:pPr>
              <w:pStyle w:val="naisc"/>
              <w:spacing w:before="0" w:after="0"/>
              <w:jc w:val="both"/>
              <w:rPr>
                <w:sz w:val="22"/>
                <w:szCs w:val="22"/>
              </w:rPr>
            </w:pPr>
            <w:r w:rsidRPr="006E7B3F">
              <w:rPr>
                <w:b/>
                <w:sz w:val="22"/>
                <w:szCs w:val="22"/>
              </w:rPr>
              <w:lastRenderedPageBreak/>
              <w:t>Ņemts vērā</w:t>
            </w:r>
          </w:p>
        </w:tc>
        <w:tc>
          <w:tcPr>
            <w:tcW w:w="3650" w:type="dxa"/>
          </w:tcPr>
          <w:p w14:paraId="58BECF1F" w14:textId="2075601C" w:rsidR="00DB27D7" w:rsidRPr="006E7B3F" w:rsidRDefault="00563D81" w:rsidP="00BD6681">
            <w:pPr>
              <w:tabs>
                <w:tab w:val="left" w:pos="993"/>
              </w:tabs>
              <w:jc w:val="both"/>
              <w:rPr>
                <w:sz w:val="22"/>
                <w:szCs w:val="22"/>
              </w:rPr>
            </w:pPr>
            <w:r w:rsidRPr="006E7B3F">
              <w:rPr>
                <w:sz w:val="22"/>
                <w:szCs w:val="22"/>
              </w:rPr>
              <w:t>Informatīvais ziņojums</w:t>
            </w:r>
            <w:r w:rsidR="00BD6681">
              <w:rPr>
                <w:sz w:val="22"/>
                <w:szCs w:val="22"/>
              </w:rPr>
              <w:t xml:space="preserve"> papildināts ar sekojošu tekstu</w:t>
            </w:r>
            <w:r w:rsidRPr="006E7B3F">
              <w:rPr>
                <w:sz w:val="22"/>
                <w:szCs w:val="22"/>
              </w:rPr>
              <w:t>: “</w:t>
            </w:r>
            <w:r w:rsidR="002C1DEE" w:rsidRPr="00C00885">
              <w:rPr>
                <w:sz w:val="22"/>
                <w:szCs w:val="22"/>
              </w:rPr>
              <w:t xml:space="preserve">VARAM ir iepazinusies arī ar Latvijas Pašvaldību savienības (turpmāk – LPS) priekšlikumu teritoriālai reformai, </w:t>
            </w:r>
            <w:r w:rsidR="002C1DEE" w:rsidRPr="006E7B3F">
              <w:rPr>
                <w:sz w:val="22"/>
                <w:szCs w:val="22"/>
              </w:rPr>
              <w:t>izmantojot zinātnieku izstrādāto piedāvājumu “Latvijas teritoriju attīstības pārvaldes reforma”</w:t>
            </w:r>
            <w:r w:rsidR="002C1DEE" w:rsidRPr="00C00885">
              <w:rPr>
                <w:sz w:val="22"/>
                <w:szCs w:val="22"/>
              </w:rPr>
              <w:t xml:space="preserve">, kas </w:t>
            </w:r>
            <w:r w:rsidR="002C1DEE" w:rsidRPr="00C00885">
              <w:rPr>
                <w:sz w:val="22"/>
                <w:szCs w:val="22"/>
              </w:rPr>
              <w:lastRenderedPageBreak/>
              <w:t xml:space="preserve">paredz </w:t>
            </w:r>
            <w:proofErr w:type="spellStart"/>
            <w:r w:rsidR="002C1DEE" w:rsidRPr="00C00885">
              <w:rPr>
                <w:sz w:val="22"/>
                <w:szCs w:val="22"/>
              </w:rPr>
              <w:t>apriņķu</w:t>
            </w:r>
            <w:proofErr w:type="spellEnd"/>
            <w:r w:rsidR="002C1DEE" w:rsidRPr="00C00885">
              <w:rPr>
                <w:sz w:val="22"/>
                <w:szCs w:val="22"/>
              </w:rPr>
              <w:t xml:space="preserve"> kā otrā līmeņa pašvaldību izveidošanu, un ietvert arī noteiktu pašvaldību funkciju centralizāciju un finanšu līdzekļu pārdali. Šo LPS piedāvājumu VARAM izvērtēs, gatavojot </w:t>
            </w:r>
            <w:r w:rsidR="002C1DEE" w:rsidRPr="006E7B3F">
              <w:rPr>
                <w:sz w:val="22"/>
                <w:szCs w:val="22"/>
              </w:rPr>
              <w:t>konceptuālā ziņojuma projektu par  plānošanas reģionu darbības (reģionālā pārvaldes līmeņa) uzlabošanu un kopējas statistiski teritoriālo vienību klasifikācijas (NUTS) izmaiņām</w:t>
            </w:r>
            <w:r w:rsidRPr="006E7B3F">
              <w:rPr>
                <w:sz w:val="22"/>
                <w:szCs w:val="22"/>
              </w:rPr>
              <w:t xml:space="preserve">”. </w:t>
            </w:r>
          </w:p>
        </w:tc>
      </w:tr>
      <w:tr w:rsidR="00DB27D7" w:rsidRPr="006E7B3F" w14:paraId="5485B8CA" w14:textId="77777777" w:rsidTr="00ED12D2">
        <w:tc>
          <w:tcPr>
            <w:tcW w:w="985" w:type="dxa"/>
          </w:tcPr>
          <w:p w14:paraId="0A61B029" w14:textId="77777777" w:rsidR="00DB27D7" w:rsidRPr="006E7B3F" w:rsidRDefault="00DB27D7" w:rsidP="00BD6681">
            <w:pPr>
              <w:pStyle w:val="naisc"/>
              <w:numPr>
                <w:ilvl w:val="0"/>
                <w:numId w:val="1"/>
              </w:numPr>
              <w:spacing w:before="0" w:after="0"/>
              <w:jc w:val="both"/>
              <w:rPr>
                <w:sz w:val="22"/>
                <w:szCs w:val="22"/>
              </w:rPr>
            </w:pPr>
          </w:p>
        </w:tc>
        <w:tc>
          <w:tcPr>
            <w:tcW w:w="3263" w:type="dxa"/>
            <w:gridSpan w:val="2"/>
          </w:tcPr>
          <w:p w14:paraId="60AFDDCC" w14:textId="3A5E7C54" w:rsidR="00DB27D7" w:rsidRPr="006E7B3F" w:rsidRDefault="00563D81" w:rsidP="00BD6681">
            <w:pPr>
              <w:jc w:val="both"/>
              <w:rPr>
                <w:b/>
                <w:i/>
                <w:sz w:val="22"/>
                <w:szCs w:val="22"/>
              </w:rPr>
            </w:pPr>
            <w:r w:rsidRPr="006E7B3F">
              <w:rPr>
                <w:b/>
                <w:sz w:val="22"/>
                <w:szCs w:val="22"/>
              </w:rPr>
              <w:t>Konceptuāls iebildums</w:t>
            </w:r>
          </w:p>
        </w:tc>
        <w:tc>
          <w:tcPr>
            <w:tcW w:w="4536" w:type="dxa"/>
          </w:tcPr>
          <w:p w14:paraId="443498AB" w14:textId="1A4A805A" w:rsidR="001A41AD" w:rsidRPr="006E7B3F" w:rsidRDefault="001A41AD" w:rsidP="00BD6681">
            <w:pPr>
              <w:pStyle w:val="naisc"/>
              <w:spacing w:before="0" w:after="0"/>
              <w:ind w:firstLine="5"/>
              <w:jc w:val="both"/>
              <w:rPr>
                <w:b/>
                <w:sz w:val="22"/>
                <w:szCs w:val="22"/>
              </w:rPr>
            </w:pPr>
            <w:r w:rsidRPr="006E7B3F">
              <w:rPr>
                <w:b/>
                <w:sz w:val="22"/>
                <w:szCs w:val="22"/>
              </w:rPr>
              <w:t>Latvijas Pašv</w:t>
            </w:r>
            <w:r w:rsidR="00AD5E34" w:rsidRPr="006E7B3F">
              <w:rPr>
                <w:b/>
                <w:sz w:val="22"/>
                <w:szCs w:val="22"/>
              </w:rPr>
              <w:t>aldību savienības  2019. gada 1. novembra</w:t>
            </w:r>
            <w:r w:rsidRPr="006E7B3F">
              <w:rPr>
                <w:b/>
                <w:sz w:val="22"/>
                <w:szCs w:val="22"/>
              </w:rPr>
              <w:t xml:space="preserve"> atzinums, 2. iebildums. </w:t>
            </w:r>
          </w:p>
          <w:p w14:paraId="25C3BD97" w14:textId="77777777" w:rsidR="00563D81" w:rsidRPr="006E7B3F" w:rsidRDefault="00563D81" w:rsidP="00BD6681">
            <w:pPr>
              <w:jc w:val="both"/>
              <w:rPr>
                <w:sz w:val="22"/>
                <w:szCs w:val="22"/>
              </w:rPr>
            </w:pPr>
            <w:r w:rsidRPr="006E7B3F">
              <w:rPr>
                <w:sz w:val="22"/>
                <w:szCs w:val="22"/>
              </w:rPr>
              <w:t xml:space="preserve">Valdības rīcības plāns Deklarācijas par Artura Krišjāņa Kariņa vadītā Ministru kabineta iecerēto darbību īstenošanai (apstiprināts ar Ministru kabineta 2019. gada 7. maija rīkojumu Nr. 210) nosaka, ka Deklarācijas par Artura Krišjāņa Kariņa vadītā Ministru kabineta iecerēto darbību Valdības rīcības plāna 225.1. pasākuma sasniedzamais darbības rezultāts ir konceptuālā ziņojuma projekts par otrā līmeņa pašvaldību ieviešanas nepieciešamību, kas jāiesniedz Ministru kabinetā izskatīšanai un lēmuma pieņemšanai līdz 2020. gada 31. oktobrim. </w:t>
            </w:r>
          </w:p>
          <w:p w14:paraId="614D2172" w14:textId="77777777" w:rsidR="00563D81" w:rsidRPr="006E7B3F" w:rsidRDefault="00563D81" w:rsidP="00BD6681">
            <w:pPr>
              <w:jc w:val="both"/>
              <w:rPr>
                <w:sz w:val="22"/>
                <w:szCs w:val="22"/>
              </w:rPr>
            </w:pPr>
            <w:r w:rsidRPr="006E7B3F">
              <w:rPr>
                <w:sz w:val="22"/>
                <w:szCs w:val="22"/>
              </w:rPr>
              <w:t xml:space="preserve">Ministru kabineta 2009. gada 7. aprīļa noteikumu Nr. 300 “Ministru kabineta kārtības rullis” 59. punkts nosaka, ka </w:t>
            </w:r>
            <w:r w:rsidRPr="006E7B3F">
              <w:rPr>
                <w:b/>
                <w:bCs/>
                <w:sz w:val="22"/>
                <w:szCs w:val="22"/>
              </w:rPr>
              <w:t>informatīvajā ziņojumā neietver konceptuālus lēmumus.</w:t>
            </w:r>
            <w:r w:rsidRPr="006E7B3F">
              <w:rPr>
                <w:sz w:val="22"/>
                <w:szCs w:val="22"/>
              </w:rPr>
              <w:t xml:space="preserve"> Savukārt, Ministru kabineta 2014. gada 2. decembra noteikumu Nr. 737 “Attīstības plānošanas dokumentu izstrādes un ietekmes izvērtēšanas noteikumi” 28. punkts nosaka konceptuālā ziņojumā iekļaujamo saturu:</w:t>
            </w:r>
          </w:p>
          <w:p w14:paraId="6708F937" w14:textId="77777777" w:rsidR="00563D81" w:rsidRPr="006E7B3F" w:rsidRDefault="00563D81" w:rsidP="00BD6681">
            <w:pPr>
              <w:jc w:val="both"/>
              <w:rPr>
                <w:sz w:val="22"/>
                <w:szCs w:val="22"/>
              </w:rPr>
            </w:pPr>
            <w:r w:rsidRPr="006E7B3F">
              <w:rPr>
                <w:sz w:val="22"/>
                <w:szCs w:val="22"/>
              </w:rPr>
              <w:t>28.1. konceptuāla ziņojuma satura kopsavilkumu;</w:t>
            </w:r>
          </w:p>
          <w:p w14:paraId="5E4D94E9" w14:textId="77777777" w:rsidR="00563D81" w:rsidRPr="006E7B3F" w:rsidRDefault="00563D81" w:rsidP="00BD6681">
            <w:pPr>
              <w:jc w:val="both"/>
              <w:rPr>
                <w:sz w:val="22"/>
                <w:szCs w:val="22"/>
              </w:rPr>
            </w:pPr>
            <w:r w:rsidRPr="006E7B3F">
              <w:rPr>
                <w:sz w:val="22"/>
                <w:szCs w:val="22"/>
              </w:rPr>
              <w:lastRenderedPageBreak/>
              <w:t xml:space="preserve">28.2. īsu problēmas vai situācijas izklāstu, norādot iespējamos riskus, ja esošā situācija netiek mainīta, un risku izvērtēšanas metodoloģiju, ar kuru saskaņā veikts risku </w:t>
            </w:r>
            <w:proofErr w:type="spellStart"/>
            <w:r w:rsidRPr="006E7B3F">
              <w:rPr>
                <w:sz w:val="22"/>
                <w:szCs w:val="22"/>
              </w:rPr>
              <w:t>izvērtējums</w:t>
            </w:r>
            <w:proofErr w:type="spellEnd"/>
            <w:r w:rsidRPr="006E7B3F">
              <w:rPr>
                <w:sz w:val="22"/>
                <w:szCs w:val="22"/>
              </w:rPr>
              <w:t>;</w:t>
            </w:r>
          </w:p>
          <w:p w14:paraId="615697FE" w14:textId="77777777" w:rsidR="00563D81" w:rsidRPr="006E7B3F" w:rsidRDefault="00563D81" w:rsidP="00BD6681">
            <w:pPr>
              <w:jc w:val="both"/>
              <w:rPr>
                <w:sz w:val="22"/>
                <w:szCs w:val="22"/>
              </w:rPr>
            </w:pPr>
            <w:r w:rsidRPr="006E7B3F">
              <w:rPr>
                <w:sz w:val="22"/>
                <w:szCs w:val="22"/>
              </w:rPr>
              <w:t>28.3. piedāvāto risinājumu vai risinājuma variantus;</w:t>
            </w:r>
          </w:p>
          <w:p w14:paraId="5211D3F3" w14:textId="77777777" w:rsidR="00563D81" w:rsidRPr="006E7B3F" w:rsidRDefault="00563D81" w:rsidP="00BD6681">
            <w:pPr>
              <w:jc w:val="both"/>
              <w:rPr>
                <w:sz w:val="22"/>
                <w:szCs w:val="22"/>
              </w:rPr>
            </w:pPr>
            <w:r w:rsidRPr="006E7B3F">
              <w:rPr>
                <w:sz w:val="22"/>
                <w:szCs w:val="22"/>
              </w:rPr>
              <w:t xml:space="preserve">28.4. katra risinājuma sākotnējo ietekmes </w:t>
            </w:r>
            <w:proofErr w:type="spellStart"/>
            <w:r w:rsidRPr="006E7B3F">
              <w:rPr>
                <w:sz w:val="22"/>
                <w:szCs w:val="22"/>
              </w:rPr>
              <w:t>izvērtējumu</w:t>
            </w:r>
            <w:proofErr w:type="spellEnd"/>
            <w:r w:rsidRPr="006E7B3F">
              <w:rPr>
                <w:sz w:val="22"/>
                <w:szCs w:val="22"/>
              </w:rPr>
              <w:t>, tajā skaitā arī iespējamo risinājumu netiešo ietekmi;</w:t>
            </w:r>
          </w:p>
          <w:p w14:paraId="10FCE19B" w14:textId="77777777" w:rsidR="00563D81" w:rsidRPr="006E7B3F" w:rsidRDefault="00563D81" w:rsidP="00BD6681">
            <w:pPr>
              <w:jc w:val="both"/>
              <w:rPr>
                <w:sz w:val="22"/>
                <w:szCs w:val="22"/>
              </w:rPr>
            </w:pPr>
            <w:r w:rsidRPr="006E7B3F">
              <w:rPr>
                <w:sz w:val="22"/>
                <w:szCs w:val="22"/>
              </w:rPr>
              <w:t>28.5. katra risinājuma ietekmi uz valsts un pašvaldību budžetiem, norādot pieejamo un papildus nepieciešamo finansējumu, kā arī ietverot iespējamo līdzekļu ietaupījumu.</w:t>
            </w:r>
          </w:p>
          <w:p w14:paraId="50679FFE" w14:textId="77777777" w:rsidR="00563D81" w:rsidRPr="006E7B3F" w:rsidRDefault="00563D81" w:rsidP="00BD6681">
            <w:pPr>
              <w:jc w:val="both"/>
              <w:rPr>
                <w:sz w:val="22"/>
                <w:szCs w:val="22"/>
              </w:rPr>
            </w:pPr>
            <w:r w:rsidRPr="006E7B3F">
              <w:rPr>
                <w:sz w:val="22"/>
                <w:szCs w:val="22"/>
              </w:rPr>
              <w:t xml:space="preserve">Ņemot vērā iepriekš minēto, uzskatām, ka sagatavotais informatīvā ziņojuma projekts pēc savas formas un satura neatbilst normatīvajos aktos noteiktajam attiecībā </w:t>
            </w:r>
            <w:r w:rsidRPr="006E7B3F">
              <w:rPr>
                <w:b/>
                <w:bCs/>
                <w:sz w:val="22"/>
                <w:szCs w:val="22"/>
              </w:rPr>
              <w:t>uz konceptuālu jautājumu</w:t>
            </w:r>
            <w:r w:rsidRPr="006E7B3F">
              <w:rPr>
                <w:sz w:val="22"/>
                <w:szCs w:val="22"/>
              </w:rPr>
              <w:t xml:space="preserve"> izskatīšanu Ministru kabinetā, jo sagatavotajā informatīvā ziņojuma projektā nav izvērtēti piedāvātie varianti attiecībā uz </w:t>
            </w:r>
            <w:proofErr w:type="spellStart"/>
            <w:r w:rsidRPr="006E7B3F">
              <w:rPr>
                <w:sz w:val="22"/>
                <w:szCs w:val="22"/>
              </w:rPr>
              <w:t>apriņķu</w:t>
            </w:r>
            <w:proofErr w:type="spellEnd"/>
            <w:r w:rsidRPr="006E7B3F">
              <w:rPr>
                <w:sz w:val="22"/>
                <w:szCs w:val="22"/>
              </w:rPr>
              <w:t xml:space="preserve"> pašvaldību veidošanu un plānošanas reģionu darbības stiprināšanu. </w:t>
            </w:r>
          </w:p>
          <w:p w14:paraId="55DCD132" w14:textId="51F4C8CB" w:rsidR="00DB27D7" w:rsidRPr="00BD6681" w:rsidRDefault="00563D81" w:rsidP="00BD6681">
            <w:pPr>
              <w:jc w:val="both"/>
              <w:rPr>
                <w:sz w:val="22"/>
                <w:szCs w:val="22"/>
              </w:rPr>
            </w:pPr>
            <w:r w:rsidRPr="006E7B3F">
              <w:rPr>
                <w:sz w:val="22"/>
                <w:szCs w:val="22"/>
              </w:rPr>
              <w:t>LPS uzskata, ka plānošanas reģioni ir stiprināmi neatkarīgi no tā, vai tiek izveidotas otrā līmeņa pašvaldības, jo jebkurā gadījumā plānošanas reģiona kapacitāte un izveidotās institūcijas būtu labs pamats arī otrā līmeņa pašvaldību administrācijas darbības nodrošināšanai, un tieši šīs alternatīvas ir jāizvērtē Informatīvajā ziņojumā.</w:t>
            </w:r>
          </w:p>
        </w:tc>
        <w:tc>
          <w:tcPr>
            <w:tcW w:w="2551" w:type="dxa"/>
            <w:gridSpan w:val="2"/>
          </w:tcPr>
          <w:p w14:paraId="13524F32" w14:textId="57950F06" w:rsidR="00DB27D7" w:rsidRPr="006E7B3F" w:rsidRDefault="00BA7265" w:rsidP="00BD6681">
            <w:pPr>
              <w:pStyle w:val="naisc"/>
              <w:spacing w:before="0" w:after="0"/>
              <w:jc w:val="both"/>
              <w:rPr>
                <w:sz w:val="22"/>
                <w:szCs w:val="22"/>
              </w:rPr>
            </w:pPr>
            <w:r w:rsidRPr="006E7B3F">
              <w:rPr>
                <w:b/>
                <w:sz w:val="22"/>
                <w:szCs w:val="22"/>
              </w:rPr>
              <w:lastRenderedPageBreak/>
              <w:t>Ņemts vērā</w:t>
            </w:r>
          </w:p>
        </w:tc>
        <w:tc>
          <w:tcPr>
            <w:tcW w:w="3650" w:type="dxa"/>
          </w:tcPr>
          <w:p w14:paraId="198749D7" w14:textId="77777777" w:rsidR="00DB27D7" w:rsidRDefault="00BD6681" w:rsidP="00BD6681">
            <w:pPr>
              <w:tabs>
                <w:tab w:val="left" w:pos="6840"/>
              </w:tabs>
              <w:jc w:val="both"/>
              <w:rPr>
                <w:sz w:val="22"/>
                <w:szCs w:val="22"/>
              </w:rPr>
            </w:pPr>
            <w:r>
              <w:rPr>
                <w:sz w:val="22"/>
                <w:szCs w:val="22"/>
              </w:rPr>
              <w:t xml:space="preserve">Šī informatīvā ziņojuma mērķis ir informēt par plānošanas reģionu funkcionālās pilnveidošanas nepieciešamību, uzdodot nozaru ministrijām sniegt </w:t>
            </w:r>
            <w:proofErr w:type="spellStart"/>
            <w:r>
              <w:rPr>
                <w:sz w:val="22"/>
                <w:szCs w:val="22"/>
              </w:rPr>
              <w:t>informāciju</w:t>
            </w:r>
            <w:r w:rsidRPr="00BD6681">
              <w:rPr>
                <w:sz w:val="22"/>
                <w:szCs w:val="22"/>
              </w:rPr>
              <w:t>par</w:t>
            </w:r>
            <w:proofErr w:type="spellEnd"/>
            <w:r w:rsidRPr="00BD6681">
              <w:rPr>
                <w:sz w:val="22"/>
                <w:szCs w:val="22"/>
              </w:rPr>
              <w:t xml:space="preserve"> to, kādu kompetenci vai uzdevumus ministrijas būtu gatavas nodot reģionālajam pārvaldes līmenim - esošajiem PR, pilnveidojot to funkcionālo, finansiālo un pārvaldes statusu, norādot attiecīgus finansējuma avotus.</w:t>
            </w:r>
          </w:p>
          <w:p w14:paraId="52E16A84" w14:textId="25BE2625" w:rsidR="00BD6681" w:rsidRPr="00BD6681" w:rsidRDefault="00BD6681" w:rsidP="00BD6681">
            <w:pPr>
              <w:jc w:val="both"/>
              <w:rPr>
                <w:sz w:val="22"/>
                <w:szCs w:val="22"/>
              </w:rPr>
            </w:pPr>
            <w:r>
              <w:rPr>
                <w:sz w:val="22"/>
                <w:szCs w:val="22"/>
              </w:rPr>
              <w:t xml:space="preserve">MK </w:t>
            </w:r>
            <w:proofErr w:type="spellStart"/>
            <w:r>
              <w:rPr>
                <w:sz w:val="22"/>
                <w:szCs w:val="22"/>
              </w:rPr>
              <w:t>prookollēmuma</w:t>
            </w:r>
            <w:proofErr w:type="spellEnd"/>
            <w:r>
              <w:rPr>
                <w:sz w:val="22"/>
                <w:szCs w:val="22"/>
              </w:rPr>
              <w:t xml:space="preserve"> projekts paredz </w:t>
            </w:r>
            <w:r w:rsidRPr="00BD6681">
              <w:rPr>
                <w:sz w:val="22"/>
                <w:szCs w:val="22"/>
              </w:rPr>
              <w:t xml:space="preserve">Vides aizsardzības un reģionālās attīstības ministrijai līdz 2020. gada 16. aprīlim iesniegt Ministru kabinetā noteiktā kārtībā konceptuālo  ziņojumu  par  plānošanas reģionu darbības (reģionālā pārvaldes līmeņa) uzlabošanu un kopējas statistiski teritoriālo vienību klasifikācijas (NUTS) izmaiņām. </w:t>
            </w:r>
          </w:p>
          <w:p w14:paraId="57B4F772" w14:textId="43045D97" w:rsidR="00BD6681" w:rsidRPr="006E7B3F" w:rsidRDefault="00BD6681" w:rsidP="00BD6681">
            <w:pPr>
              <w:tabs>
                <w:tab w:val="left" w:pos="6840"/>
              </w:tabs>
              <w:jc w:val="both"/>
              <w:rPr>
                <w:sz w:val="22"/>
                <w:szCs w:val="22"/>
              </w:rPr>
            </w:pPr>
          </w:p>
        </w:tc>
      </w:tr>
      <w:tr w:rsidR="00C4080C" w:rsidRPr="006E7B3F" w14:paraId="73D23ED1" w14:textId="77777777" w:rsidTr="00ED12D2">
        <w:tc>
          <w:tcPr>
            <w:tcW w:w="985" w:type="dxa"/>
          </w:tcPr>
          <w:p w14:paraId="290EF833" w14:textId="77777777" w:rsidR="00C4080C" w:rsidRPr="006E7B3F" w:rsidRDefault="00C4080C" w:rsidP="00BD6681">
            <w:pPr>
              <w:pStyle w:val="naisc"/>
              <w:numPr>
                <w:ilvl w:val="0"/>
                <w:numId w:val="1"/>
              </w:numPr>
              <w:spacing w:before="0" w:after="0"/>
              <w:jc w:val="both"/>
              <w:rPr>
                <w:sz w:val="22"/>
                <w:szCs w:val="22"/>
              </w:rPr>
            </w:pPr>
          </w:p>
        </w:tc>
        <w:tc>
          <w:tcPr>
            <w:tcW w:w="3263" w:type="dxa"/>
            <w:gridSpan w:val="2"/>
          </w:tcPr>
          <w:p w14:paraId="3E5475B3" w14:textId="77777777" w:rsidR="00C4080C" w:rsidRPr="006E7B3F" w:rsidRDefault="00C4080C" w:rsidP="00BD6681">
            <w:pPr>
              <w:jc w:val="both"/>
              <w:rPr>
                <w:b/>
                <w:i/>
                <w:sz w:val="22"/>
                <w:szCs w:val="22"/>
              </w:rPr>
            </w:pPr>
          </w:p>
        </w:tc>
        <w:tc>
          <w:tcPr>
            <w:tcW w:w="4536" w:type="dxa"/>
          </w:tcPr>
          <w:p w14:paraId="5A48BDDE" w14:textId="0085A04F" w:rsidR="001A41AD" w:rsidRPr="006E7B3F" w:rsidRDefault="001A41AD" w:rsidP="00BD6681">
            <w:pPr>
              <w:pStyle w:val="naisc"/>
              <w:spacing w:before="0" w:after="0"/>
              <w:ind w:firstLine="5"/>
              <w:jc w:val="both"/>
              <w:rPr>
                <w:b/>
                <w:sz w:val="22"/>
                <w:szCs w:val="22"/>
              </w:rPr>
            </w:pPr>
            <w:r w:rsidRPr="006E7B3F">
              <w:rPr>
                <w:b/>
                <w:sz w:val="22"/>
                <w:szCs w:val="22"/>
              </w:rPr>
              <w:t>Latvijas Pašv</w:t>
            </w:r>
            <w:r w:rsidR="002C1DEE" w:rsidRPr="006E7B3F">
              <w:rPr>
                <w:b/>
                <w:sz w:val="22"/>
                <w:szCs w:val="22"/>
              </w:rPr>
              <w:t>aldību savienības  2019. gada 1</w:t>
            </w:r>
            <w:r w:rsidRPr="006E7B3F">
              <w:rPr>
                <w:b/>
                <w:sz w:val="22"/>
                <w:szCs w:val="22"/>
              </w:rPr>
              <w:t>. </w:t>
            </w:r>
            <w:r w:rsidR="002C1DEE" w:rsidRPr="006E7B3F">
              <w:rPr>
                <w:b/>
                <w:sz w:val="22"/>
                <w:szCs w:val="22"/>
              </w:rPr>
              <w:t>novembra</w:t>
            </w:r>
            <w:r w:rsidRPr="006E7B3F">
              <w:rPr>
                <w:b/>
                <w:sz w:val="22"/>
                <w:szCs w:val="22"/>
              </w:rPr>
              <w:t xml:space="preserve"> atzinums, 3. iebildums. </w:t>
            </w:r>
          </w:p>
          <w:p w14:paraId="22838C7F" w14:textId="1D6B3DCA" w:rsidR="003D224A" w:rsidRPr="006E7B3F" w:rsidRDefault="003D224A" w:rsidP="00BD6681">
            <w:pPr>
              <w:jc w:val="both"/>
              <w:rPr>
                <w:sz w:val="22"/>
                <w:szCs w:val="22"/>
              </w:rPr>
            </w:pPr>
            <w:r w:rsidRPr="006E7B3F">
              <w:rPr>
                <w:sz w:val="22"/>
                <w:szCs w:val="22"/>
              </w:rPr>
              <w:lastRenderedPageBreak/>
              <w:t xml:space="preserve">Informatīvā ziņojuma projektā gan 1. lpp., gan 2. lpp. tiek minēts turpmākais apzīmējums – konceptuālais ziņojums. </w:t>
            </w:r>
          </w:p>
          <w:p w14:paraId="6F77AA59" w14:textId="36C7FD8C" w:rsidR="00C4080C" w:rsidRPr="006E7B3F" w:rsidRDefault="003D224A" w:rsidP="00BD6681">
            <w:pPr>
              <w:jc w:val="both"/>
              <w:rPr>
                <w:sz w:val="22"/>
                <w:szCs w:val="22"/>
              </w:rPr>
            </w:pPr>
            <w:r w:rsidRPr="006E7B3F">
              <w:rPr>
                <w:sz w:val="22"/>
                <w:szCs w:val="22"/>
              </w:rPr>
              <w:t>Līdz ar to turpmākajā tekstā nav saprotams, par kuru no konceptuālajiem ziņojumiem tiek veikta atsauce. Aicinām precizēt informatīvā ziņojuma projektu.</w:t>
            </w:r>
          </w:p>
        </w:tc>
        <w:tc>
          <w:tcPr>
            <w:tcW w:w="2551" w:type="dxa"/>
            <w:gridSpan w:val="2"/>
          </w:tcPr>
          <w:p w14:paraId="5CCF0307" w14:textId="7D269C4E" w:rsidR="00C4080C" w:rsidRPr="006E7B3F" w:rsidRDefault="00C4080C" w:rsidP="00BD6681">
            <w:pPr>
              <w:pStyle w:val="naisc"/>
              <w:spacing w:before="0" w:after="0"/>
              <w:jc w:val="both"/>
              <w:rPr>
                <w:sz w:val="22"/>
                <w:szCs w:val="22"/>
              </w:rPr>
            </w:pPr>
            <w:r w:rsidRPr="006E7B3F">
              <w:rPr>
                <w:b/>
                <w:sz w:val="22"/>
                <w:szCs w:val="22"/>
              </w:rPr>
              <w:lastRenderedPageBreak/>
              <w:t>Ņemts vērā</w:t>
            </w:r>
          </w:p>
        </w:tc>
        <w:tc>
          <w:tcPr>
            <w:tcW w:w="3650" w:type="dxa"/>
          </w:tcPr>
          <w:p w14:paraId="0CB41690" w14:textId="050D1590" w:rsidR="00FB185B" w:rsidRPr="006E7B3F" w:rsidRDefault="003D224A" w:rsidP="00BD6681">
            <w:pPr>
              <w:jc w:val="both"/>
              <w:rPr>
                <w:color w:val="FF0000"/>
                <w:sz w:val="22"/>
                <w:szCs w:val="22"/>
              </w:rPr>
            </w:pPr>
            <w:r w:rsidRPr="006E7B3F">
              <w:rPr>
                <w:sz w:val="22"/>
                <w:szCs w:val="22"/>
              </w:rPr>
              <w:t>Tekstā svītrots apzīmējums “Konceptuālais ziņojums”</w:t>
            </w:r>
          </w:p>
        </w:tc>
      </w:tr>
      <w:tr w:rsidR="00C4080C" w:rsidRPr="006E7B3F" w14:paraId="006DAE1D" w14:textId="77777777" w:rsidTr="00ED12D2">
        <w:tc>
          <w:tcPr>
            <w:tcW w:w="985" w:type="dxa"/>
          </w:tcPr>
          <w:p w14:paraId="63C0D415" w14:textId="77777777" w:rsidR="00C4080C" w:rsidRPr="006E7B3F" w:rsidRDefault="00C4080C" w:rsidP="00BD6681">
            <w:pPr>
              <w:pStyle w:val="naisc"/>
              <w:numPr>
                <w:ilvl w:val="0"/>
                <w:numId w:val="1"/>
              </w:numPr>
              <w:spacing w:before="0" w:after="0"/>
              <w:jc w:val="both"/>
              <w:rPr>
                <w:sz w:val="22"/>
                <w:szCs w:val="22"/>
              </w:rPr>
            </w:pPr>
          </w:p>
        </w:tc>
        <w:tc>
          <w:tcPr>
            <w:tcW w:w="3263" w:type="dxa"/>
            <w:gridSpan w:val="2"/>
          </w:tcPr>
          <w:p w14:paraId="779502B7" w14:textId="77777777" w:rsidR="00C4080C" w:rsidRPr="006E7B3F" w:rsidRDefault="00C4080C" w:rsidP="00BD6681">
            <w:pPr>
              <w:jc w:val="both"/>
              <w:rPr>
                <w:b/>
                <w:i/>
                <w:sz w:val="22"/>
                <w:szCs w:val="22"/>
              </w:rPr>
            </w:pPr>
          </w:p>
        </w:tc>
        <w:tc>
          <w:tcPr>
            <w:tcW w:w="4536" w:type="dxa"/>
          </w:tcPr>
          <w:p w14:paraId="04D3112D" w14:textId="07F76E1B" w:rsidR="001A41AD" w:rsidRPr="006E7B3F" w:rsidRDefault="001A41AD" w:rsidP="00BD6681">
            <w:pPr>
              <w:pStyle w:val="naisc"/>
              <w:spacing w:before="0" w:after="0"/>
              <w:ind w:firstLine="5"/>
              <w:jc w:val="both"/>
              <w:rPr>
                <w:b/>
                <w:sz w:val="22"/>
                <w:szCs w:val="22"/>
              </w:rPr>
            </w:pPr>
            <w:r w:rsidRPr="006E7B3F">
              <w:rPr>
                <w:b/>
                <w:sz w:val="22"/>
                <w:szCs w:val="22"/>
              </w:rPr>
              <w:t xml:space="preserve">Latvijas Pašvaldību savienības  2019. gada </w:t>
            </w:r>
            <w:r w:rsidR="003D224A" w:rsidRPr="006E7B3F">
              <w:rPr>
                <w:b/>
                <w:sz w:val="22"/>
                <w:szCs w:val="22"/>
              </w:rPr>
              <w:t xml:space="preserve">1. novembra </w:t>
            </w:r>
            <w:r w:rsidRPr="006E7B3F">
              <w:rPr>
                <w:b/>
                <w:sz w:val="22"/>
                <w:szCs w:val="22"/>
              </w:rPr>
              <w:t xml:space="preserve">atzinums, 4. iebildums. </w:t>
            </w:r>
          </w:p>
          <w:p w14:paraId="40CFC63B" w14:textId="77777777" w:rsidR="003D224A" w:rsidRPr="006E7B3F" w:rsidRDefault="003D224A" w:rsidP="00BD6681">
            <w:pPr>
              <w:jc w:val="both"/>
              <w:rPr>
                <w:sz w:val="22"/>
                <w:szCs w:val="22"/>
              </w:rPr>
            </w:pPr>
            <w:r w:rsidRPr="006E7B3F">
              <w:rPr>
                <w:sz w:val="22"/>
                <w:szCs w:val="22"/>
              </w:rPr>
              <w:t xml:space="preserve">Svītrot- Vēršam uzmanību, ka nav korekti apgalvot, ka arī turpmāk politiskajā un valdības līmenī varētu nebūt atbalsts </w:t>
            </w:r>
            <w:proofErr w:type="spellStart"/>
            <w:r w:rsidRPr="006E7B3F">
              <w:rPr>
                <w:sz w:val="22"/>
                <w:szCs w:val="22"/>
              </w:rPr>
              <w:t>apriņķu</w:t>
            </w:r>
            <w:proofErr w:type="spellEnd"/>
            <w:r w:rsidRPr="006E7B3F">
              <w:rPr>
                <w:sz w:val="22"/>
                <w:szCs w:val="22"/>
              </w:rPr>
              <w:t xml:space="preserve"> kā reģionālo pašvaldību izveidei bez padziļinātās analīzes un  argumentēšanas par otrā līmeņa pašvaldību veikšanas. </w:t>
            </w:r>
          </w:p>
          <w:p w14:paraId="5D2BBB2F" w14:textId="3CE9EEBE" w:rsidR="00C4080C" w:rsidRPr="006E7B3F" w:rsidRDefault="003D224A" w:rsidP="00C00885">
            <w:pPr>
              <w:jc w:val="both"/>
              <w:rPr>
                <w:sz w:val="22"/>
                <w:szCs w:val="22"/>
              </w:rPr>
            </w:pPr>
            <w:r w:rsidRPr="006E7B3F">
              <w:rPr>
                <w:sz w:val="22"/>
                <w:szCs w:val="22"/>
              </w:rPr>
              <w:t>Nepiekrītam apgalvojumam, ka otrā līmeņa pašvaldību izveide iezīmētu arī birokrātijas un administratīvā sloga palielināšanu. Uzskatam, ka jau pašlaik plānošanas reģiona darbība un VARAM piedāvātais uzlabotais pārvaldes modelis veicina birokrātijas un administratīvo sloga pieaugumu, kas, savukārt, neveicina nodokļu maksātāju</w:t>
            </w:r>
          </w:p>
        </w:tc>
        <w:tc>
          <w:tcPr>
            <w:tcW w:w="2551" w:type="dxa"/>
            <w:gridSpan w:val="2"/>
          </w:tcPr>
          <w:p w14:paraId="71B8EAEA" w14:textId="0C6E4D19" w:rsidR="00C4080C" w:rsidRPr="006E7B3F" w:rsidRDefault="00C4080C" w:rsidP="00BD6681">
            <w:pPr>
              <w:jc w:val="both"/>
              <w:rPr>
                <w:sz w:val="22"/>
                <w:szCs w:val="22"/>
              </w:rPr>
            </w:pPr>
            <w:r w:rsidRPr="006E7B3F">
              <w:rPr>
                <w:b/>
                <w:sz w:val="22"/>
                <w:szCs w:val="22"/>
              </w:rPr>
              <w:t>Ņemts vērā</w:t>
            </w:r>
          </w:p>
        </w:tc>
        <w:tc>
          <w:tcPr>
            <w:tcW w:w="3650" w:type="dxa"/>
          </w:tcPr>
          <w:p w14:paraId="1083A2C7" w14:textId="77777777" w:rsidR="00C4080C" w:rsidRPr="00C00885" w:rsidRDefault="003D224A" w:rsidP="00BD6681">
            <w:pPr>
              <w:tabs>
                <w:tab w:val="left" w:pos="6840"/>
              </w:tabs>
              <w:jc w:val="both"/>
              <w:rPr>
                <w:sz w:val="22"/>
                <w:szCs w:val="22"/>
              </w:rPr>
            </w:pPr>
            <w:r w:rsidRPr="006E7B3F">
              <w:rPr>
                <w:sz w:val="22"/>
                <w:szCs w:val="22"/>
              </w:rPr>
              <w:t>Svītrots teikums: “</w:t>
            </w:r>
            <w:r w:rsidRPr="00C00885">
              <w:rPr>
                <w:sz w:val="22"/>
                <w:szCs w:val="22"/>
              </w:rPr>
              <w:t xml:space="preserve">VARAM ieskatā augstāk minētais neliecina par to, ka arī turpmāk politiskajā un valdības līmenī varētu būt atbalsts </w:t>
            </w:r>
            <w:proofErr w:type="spellStart"/>
            <w:r w:rsidRPr="00C00885">
              <w:rPr>
                <w:sz w:val="22"/>
                <w:szCs w:val="22"/>
              </w:rPr>
              <w:t>apriņķu</w:t>
            </w:r>
            <w:proofErr w:type="spellEnd"/>
            <w:r w:rsidRPr="00C00885">
              <w:rPr>
                <w:sz w:val="22"/>
                <w:szCs w:val="22"/>
              </w:rPr>
              <w:t xml:space="preserve"> kā reģionālo pašvaldību izveidei.”</w:t>
            </w:r>
          </w:p>
          <w:p w14:paraId="5E1901FA" w14:textId="6F7C38EF" w:rsidR="00227627" w:rsidRPr="006E7B3F" w:rsidRDefault="00C00885" w:rsidP="00BD6681">
            <w:pPr>
              <w:tabs>
                <w:tab w:val="left" w:pos="6840"/>
              </w:tabs>
              <w:jc w:val="both"/>
              <w:rPr>
                <w:sz w:val="22"/>
                <w:szCs w:val="22"/>
              </w:rPr>
            </w:pPr>
            <w:r w:rsidRPr="00C00885">
              <w:rPr>
                <w:sz w:val="22"/>
                <w:szCs w:val="22"/>
              </w:rPr>
              <w:t xml:space="preserve">Vienlaikus informatīvais ziņojums papildināts ar sekojošu tekstu: “sagatavojot risinājumus plānošanas reģionu darbības uzlabošanai konceptuālā  ziņojuma  par  plānošanas reģionu darbības (reģionālā pārvaldes līmeņa) uzlabošanu un kopējas statistiski teritoriālo vienību klasifikācijas (NUTS) izmaiņām ietvaros, tiks sniegts arī vērtējums par </w:t>
            </w:r>
            <w:proofErr w:type="spellStart"/>
            <w:r w:rsidRPr="00C00885">
              <w:rPr>
                <w:sz w:val="22"/>
                <w:szCs w:val="22"/>
              </w:rPr>
              <w:t>apriņķu</w:t>
            </w:r>
            <w:proofErr w:type="spellEnd"/>
            <w:r w:rsidRPr="00C00885">
              <w:rPr>
                <w:sz w:val="22"/>
                <w:szCs w:val="22"/>
              </w:rPr>
              <w:t xml:space="preserve"> (reģionālo) pašvaldību izveides nepieciešamību.”</w:t>
            </w:r>
          </w:p>
        </w:tc>
      </w:tr>
      <w:tr w:rsidR="00C4080C" w:rsidRPr="006E7B3F" w14:paraId="552DE5CD" w14:textId="77777777" w:rsidTr="00ED12D2">
        <w:tc>
          <w:tcPr>
            <w:tcW w:w="985" w:type="dxa"/>
          </w:tcPr>
          <w:p w14:paraId="0ABD3D4B" w14:textId="77777777" w:rsidR="00C4080C" w:rsidRPr="006E7B3F" w:rsidRDefault="00C4080C" w:rsidP="00BD6681">
            <w:pPr>
              <w:pStyle w:val="naisc"/>
              <w:numPr>
                <w:ilvl w:val="0"/>
                <w:numId w:val="1"/>
              </w:numPr>
              <w:spacing w:before="0" w:after="0"/>
              <w:jc w:val="both"/>
              <w:rPr>
                <w:sz w:val="22"/>
                <w:szCs w:val="22"/>
              </w:rPr>
            </w:pPr>
          </w:p>
        </w:tc>
        <w:tc>
          <w:tcPr>
            <w:tcW w:w="3263" w:type="dxa"/>
            <w:gridSpan w:val="2"/>
          </w:tcPr>
          <w:p w14:paraId="18E526EA" w14:textId="77777777" w:rsidR="00C4080C" w:rsidRPr="006E7B3F" w:rsidRDefault="00C4080C" w:rsidP="00BD6681">
            <w:pPr>
              <w:jc w:val="both"/>
              <w:rPr>
                <w:b/>
                <w:i/>
                <w:sz w:val="22"/>
                <w:szCs w:val="22"/>
              </w:rPr>
            </w:pPr>
          </w:p>
        </w:tc>
        <w:tc>
          <w:tcPr>
            <w:tcW w:w="4536" w:type="dxa"/>
          </w:tcPr>
          <w:p w14:paraId="54217F82" w14:textId="37807C2A" w:rsidR="001A41AD" w:rsidRPr="006E7B3F" w:rsidRDefault="001A41AD" w:rsidP="00BD6681">
            <w:pPr>
              <w:pStyle w:val="naisc"/>
              <w:spacing w:before="0" w:after="0"/>
              <w:ind w:firstLine="5"/>
              <w:jc w:val="both"/>
              <w:rPr>
                <w:b/>
                <w:sz w:val="22"/>
                <w:szCs w:val="22"/>
              </w:rPr>
            </w:pPr>
            <w:r w:rsidRPr="006E7B3F">
              <w:rPr>
                <w:b/>
                <w:sz w:val="22"/>
                <w:szCs w:val="22"/>
              </w:rPr>
              <w:t xml:space="preserve">Latvijas Pašvaldību savienības  2019. gada </w:t>
            </w:r>
            <w:r w:rsidR="00227627" w:rsidRPr="006E7B3F">
              <w:rPr>
                <w:b/>
                <w:sz w:val="22"/>
                <w:szCs w:val="22"/>
              </w:rPr>
              <w:t xml:space="preserve">1. novembra </w:t>
            </w:r>
            <w:r w:rsidRPr="006E7B3F">
              <w:rPr>
                <w:b/>
                <w:sz w:val="22"/>
                <w:szCs w:val="22"/>
              </w:rPr>
              <w:t xml:space="preserve">atzinums, 5. iebildums. </w:t>
            </w:r>
          </w:p>
          <w:p w14:paraId="2A12949F" w14:textId="7AA9A791" w:rsidR="00C4080C" w:rsidRPr="006E7B3F" w:rsidRDefault="00AD75C2" w:rsidP="00BD6681">
            <w:pPr>
              <w:jc w:val="both"/>
              <w:rPr>
                <w:sz w:val="22"/>
                <w:szCs w:val="22"/>
              </w:rPr>
            </w:pPr>
            <w:r w:rsidRPr="006E7B3F">
              <w:rPr>
                <w:sz w:val="22"/>
                <w:szCs w:val="22"/>
              </w:rPr>
              <w:t xml:space="preserve">Lūdzam skaidrot, kas ir </w:t>
            </w:r>
            <w:r w:rsidRPr="006E7B3F">
              <w:rPr>
                <w:bCs/>
                <w:sz w:val="22"/>
                <w:szCs w:val="22"/>
              </w:rPr>
              <w:t>sadarbības platforma un kāds ir tās institucionālais pamats.</w:t>
            </w:r>
          </w:p>
        </w:tc>
        <w:tc>
          <w:tcPr>
            <w:tcW w:w="2551" w:type="dxa"/>
            <w:gridSpan w:val="2"/>
          </w:tcPr>
          <w:p w14:paraId="25DC5D09" w14:textId="5F30DA86" w:rsidR="00C4080C" w:rsidRPr="006E7B3F" w:rsidRDefault="00870063" w:rsidP="00BD6681">
            <w:pPr>
              <w:pStyle w:val="naisc"/>
              <w:spacing w:before="0" w:after="0"/>
              <w:jc w:val="both"/>
              <w:rPr>
                <w:sz w:val="22"/>
                <w:szCs w:val="22"/>
              </w:rPr>
            </w:pPr>
            <w:r w:rsidRPr="006E7B3F">
              <w:rPr>
                <w:b/>
                <w:sz w:val="22"/>
                <w:szCs w:val="22"/>
              </w:rPr>
              <w:t>Ņ</w:t>
            </w:r>
            <w:r w:rsidR="00C4080C" w:rsidRPr="006E7B3F">
              <w:rPr>
                <w:b/>
                <w:sz w:val="22"/>
                <w:szCs w:val="22"/>
              </w:rPr>
              <w:t>emts vērā</w:t>
            </w:r>
          </w:p>
        </w:tc>
        <w:tc>
          <w:tcPr>
            <w:tcW w:w="3650" w:type="dxa"/>
          </w:tcPr>
          <w:p w14:paraId="11E9E61F" w14:textId="4D5321A5" w:rsidR="001B62D1" w:rsidRPr="006E7B3F" w:rsidRDefault="00AD75C2" w:rsidP="00BD6681">
            <w:pPr>
              <w:jc w:val="both"/>
              <w:rPr>
                <w:sz w:val="22"/>
                <w:szCs w:val="22"/>
              </w:rPr>
            </w:pPr>
            <w:r w:rsidRPr="006E7B3F">
              <w:rPr>
                <w:bCs/>
                <w:sz w:val="22"/>
                <w:szCs w:val="22"/>
              </w:rPr>
              <w:t>Termins “Sadarbības platforma”</w:t>
            </w:r>
            <w:r w:rsidR="00E22D5A">
              <w:rPr>
                <w:bCs/>
                <w:sz w:val="22"/>
                <w:szCs w:val="22"/>
              </w:rPr>
              <w:t xml:space="preserve"> šajā ziņojumā</w:t>
            </w:r>
            <w:r w:rsidRPr="006E7B3F">
              <w:rPr>
                <w:bCs/>
                <w:sz w:val="22"/>
                <w:szCs w:val="22"/>
              </w:rPr>
              <w:t xml:space="preserve"> nav jātulko kā institūcija, jo</w:t>
            </w:r>
            <w:r w:rsidR="00E22D5A">
              <w:rPr>
                <w:bCs/>
                <w:sz w:val="22"/>
                <w:szCs w:val="22"/>
              </w:rPr>
              <w:t xml:space="preserve"> plānošanas reģionu institucionālais ietvars tiks </w:t>
            </w:r>
            <w:r w:rsidR="00D40F02">
              <w:rPr>
                <w:sz w:val="22"/>
                <w:szCs w:val="22"/>
              </w:rPr>
              <w:t>atspoguļots konceptuālajā</w:t>
            </w:r>
            <w:r w:rsidR="00E22D5A" w:rsidRPr="006E7B3F">
              <w:rPr>
                <w:sz w:val="22"/>
                <w:szCs w:val="22"/>
              </w:rPr>
              <w:t xml:space="preserve">  ziņojumu  par  plānošanas reģionu darbības (reģionālā pārvaldes līmeņa) uzlabošanu un kopējas statistiski teritoriālo vienību</w:t>
            </w:r>
            <w:r w:rsidR="00D40F02">
              <w:rPr>
                <w:sz w:val="22"/>
                <w:szCs w:val="22"/>
              </w:rPr>
              <w:t xml:space="preserve"> klasifikācijas (NUTS) izmaiņām. </w:t>
            </w:r>
            <w:r w:rsidR="00E22D5A" w:rsidRPr="006E7B3F">
              <w:rPr>
                <w:sz w:val="22"/>
                <w:szCs w:val="22"/>
              </w:rPr>
              <w:t xml:space="preserve"> </w:t>
            </w:r>
          </w:p>
        </w:tc>
      </w:tr>
      <w:tr w:rsidR="00A557C7" w:rsidRPr="006E7B3F" w14:paraId="2FF01F50" w14:textId="77777777" w:rsidTr="00ED12D2">
        <w:tc>
          <w:tcPr>
            <w:tcW w:w="985" w:type="dxa"/>
          </w:tcPr>
          <w:p w14:paraId="655C6DFD" w14:textId="77777777" w:rsidR="00A557C7" w:rsidRPr="006E7B3F" w:rsidRDefault="00A557C7" w:rsidP="00BD6681">
            <w:pPr>
              <w:pStyle w:val="naisc"/>
              <w:numPr>
                <w:ilvl w:val="0"/>
                <w:numId w:val="1"/>
              </w:numPr>
              <w:spacing w:before="0" w:after="0"/>
              <w:jc w:val="both"/>
              <w:rPr>
                <w:sz w:val="22"/>
                <w:szCs w:val="22"/>
              </w:rPr>
            </w:pPr>
          </w:p>
        </w:tc>
        <w:tc>
          <w:tcPr>
            <w:tcW w:w="3263" w:type="dxa"/>
            <w:gridSpan w:val="2"/>
          </w:tcPr>
          <w:p w14:paraId="25F46644" w14:textId="6C552CAD" w:rsidR="00A557C7" w:rsidRPr="006E7B3F" w:rsidRDefault="00A557C7" w:rsidP="00BD6681">
            <w:pPr>
              <w:pStyle w:val="ListParagraph"/>
              <w:spacing w:after="0" w:line="240" w:lineRule="auto"/>
              <w:ind w:left="1210"/>
              <w:contextualSpacing w:val="0"/>
              <w:jc w:val="both"/>
              <w:rPr>
                <w:rFonts w:ascii="Times New Roman" w:hAnsi="Times New Roman"/>
              </w:rPr>
            </w:pPr>
          </w:p>
        </w:tc>
        <w:tc>
          <w:tcPr>
            <w:tcW w:w="4536" w:type="dxa"/>
          </w:tcPr>
          <w:p w14:paraId="1A4AC4AC" w14:textId="6A9EE21C" w:rsidR="00A557C7" w:rsidRPr="006E7B3F" w:rsidRDefault="00A557C7" w:rsidP="00BD6681">
            <w:pPr>
              <w:pStyle w:val="naisc"/>
              <w:spacing w:before="0" w:after="0"/>
              <w:ind w:firstLine="5"/>
              <w:jc w:val="both"/>
              <w:rPr>
                <w:b/>
                <w:sz w:val="22"/>
                <w:szCs w:val="22"/>
              </w:rPr>
            </w:pPr>
            <w:r w:rsidRPr="006E7B3F">
              <w:rPr>
                <w:b/>
                <w:sz w:val="22"/>
                <w:szCs w:val="22"/>
              </w:rPr>
              <w:t xml:space="preserve">Latvijas Pašvaldību savienības  2019. gada </w:t>
            </w:r>
            <w:r w:rsidR="00AD75C2" w:rsidRPr="006E7B3F">
              <w:rPr>
                <w:b/>
                <w:sz w:val="22"/>
                <w:szCs w:val="22"/>
              </w:rPr>
              <w:t xml:space="preserve">1. novembra </w:t>
            </w:r>
            <w:r w:rsidRPr="006E7B3F">
              <w:rPr>
                <w:b/>
                <w:sz w:val="22"/>
                <w:szCs w:val="22"/>
              </w:rPr>
              <w:t xml:space="preserve">atzinums, 6. iebildums. </w:t>
            </w:r>
          </w:p>
          <w:p w14:paraId="1A770F6C" w14:textId="77777777" w:rsidR="00AD75C2" w:rsidRPr="006E7B3F" w:rsidRDefault="00AD75C2" w:rsidP="00BD6681">
            <w:pPr>
              <w:jc w:val="both"/>
              <w:rPr>
                <w:sz w:val="22"/>
                <w:szCs w:val="22"/>
              </w:rPr>
            </w:pPr>
            <w:r w:rsidRPr="006E7B3F">
              <w:rPr>
                <w:sz w:val="22"/>
                <w:szCs w:val="22"/>
              </w:rPr>
              <w:lastRenderedPageBreak/>
              <w:t>Lūdzam Informatīvo ziņojumu papildināt ar analīzi un piemēriem par  plānošanas reģionu darbības rezultātiem šādu jautājumu risināšanā:</w:t>
            </w:r>
          </w:p>
          <w:p w14:paraId="649759D4" w14:textId="77777777" w:rsidR="00AD75C2" w:rsidRPr="006E7B3F" w:rsidRDefault="00AD75C2" w:rsidP="00BD6681">
            <w:pPr>
              <w:numPr>
                <w:ilvl w:val="0"/>
                <w:numId w:val="28"/>
              </w:numPr>
              <w:ind w:left="240" w:hanging="240"/>
              <w:jc w:val="both"/>
              <w:rPr>
                <w:sz w:val="22"/>
                <w:szCs w:val="22"/>
              </w:rPr>
            </w:pPr>
            <w:r w:rsidRPr="006E7B3F">
              <w:rPr>
                <w:sz w:val="22"/>
                <w:szCs w:val="22"/>
              </w:rPr>
              <w:t>Piesaistītās investīcijas reģionos. Kāds ir katra plānošanas reģiona piesaistīto investīciju apjoms? Cik daudz jaunas darba vietas ir izveidotas?</w:t>
            </w:r>
          </w:p>
          <w:p w14:paraId="1D5E11AE" w14:textId="77777777" w:rsidR="00AD75C2" w:rsidRPr="006E7B3F" w:rsidRDefault="00AD75C2" w:rsidP="00BD6681">
            <w:pPr>
              <w:numPr>
                <w:ilvl w:val="0"/>
                <w:numId w:val="28"/>
              </w:numPr>
              <w:ind w:left="240" w:hanging="240"/>
              <w:jc w:val="both"/>
              <w:rPr>
                <w:sz w:val="22"/>
                <w:szCs w:val="22"/>
              </w:rPr>
            </w:pPr>
            <w:r w:rsidRPr="006E7B3F">
              <w:rPr>
                <w:sz w:val="22"/>
                <w:szCs w:val="22"/>
              </w:rPr>
              <w:t>Izveidotas ekosistēmas reģionos;</w:t>
            </w:r>
          </w:p>
          <w:p w14:paraId="3CD8F6C2" w14:textId="77777777" w:rsidR="00AD75C2" w:rsidRPr="006E7B3F" w:rsidRDefault="00AD75C2" w:rsidP="00BD6681">
            <w:pPr>
              <w:numPr>
                <w:ilvl w:val="0"/>
                <w:numId w:val="28"/>
              </w:numPr>
              <w:ind w:left="240" w:hanging="240"/>
              <w:jc w:val="both"/>
              <w:rPr>
                <w:sz w:val="22"/>
                <w:szCs w:val="22"/>
              </w:rPr>
            </w:pPr>
            <w:r w:rsidRPr="006E7B3F">
              <w:rPr>
                <w:sz w:val="22"/>
                <w:szCs w:val="22"/>
              </w:rPr>
              <w:t>Piesaistītie cilvēkresursi atbilstoši darba tirgus reģionālajam pieprasījumam un reģionālajai mobilitātei. Cik daudz cilvēku katrs plānošanas reģions piesaistīja?</w:t>
            </w:r>
          </w:p>
          <w:p w14:paraId="6A7F534E" w14:textId="77777777" w:rsidR="00AD75C2" w:rsidRPr="006E7B3F" w:rsidRDefault="00AD75C2" w:rsidP="00BD6681">
            <w:pPr>
              <w:jc w:val="both"/>
              <w:rPr>
                <w:sz w:val="22"/>
                <w:szCs w:val="22"/>
              </w:rPr>
            </w:pPr>
            <w:r w:rsidRPr="006E7B3F">
              <w:rPr>
                <w:sz w:val="22"/>
                <w:szCs w:val="22"/>
              </w:rPr>
              <w:t>Vēršam uzmanību, ka Latvijā darbojas biedrība “Latvijas Pašvaldību savienība” (LPS), kas uz brīvprātības principiem apvieno Latvijas Republikas novadu un republikas pilsētu pašvaldības. Latvijas Pašvaldību savienība dibināta 1991.gada 15.decembrī. Saskaņā ar likuma "Par pašvaldībām" 96.pantu LPS ir tiesīga pārstāvēt pašvaldības to sarunās ar Ministru kabinetu. Galvenie LPS mērķi ir šādi:</w:t>
            </w:r>
          </w:p>
          <w:p w14:paraId="31ABC794" w14:textId="77777777" w:rsidR="00AD75C2" w:rsidRPr="006E7B3F" w:rsidRDefault="00AD75C2" w:rsidP="00BD6681">
            <w:pPr>
              <w:numPr>
                <w:ilvl w:val="0"/>
                <w:numId w:val="29"/>
              </w:numPr>
              <w:ind w:left="240" w:hanging="240"/>
              <w:jc w:val="both"/>
              <w:rPr>
                <w:sz w:val="22"/>
                <w:szCs w:val="22"/>
              </w:rPr>
            </w:pPr>
            <w:r w:rsidRPr="006E7B3F">
              <w:rPr>
                <w:sz w:val="22"/>
                <w:szCs w:val="22"/>
              </w:rPr>
              <w:t>pašvaldību politikas veidošana Latvijā;</w:t>
            </w:r>
          </w:p>
          <w:p w14:paraId="2614565A" w14:textId="77777777" w:rsidR="00AD75C2" w:rsidRPr="006E7B3F" w:rsidRDefault="00AD75C2" w:rsidP="00BD6681">
            <w:pPr>
              <w:numPr>
                <w:ilvl w:val="0"/>
                <w:numId w:val="29"/>
              </w:numPr>
              <w:ind w:left="240" w:hanging="240"/>
              <w:jc w:val="both"/>
              <w:rPr>
                <w:sz w:val="22"/>
                <w:szCs w:val="22"/>
              </w:rPr>
            </w:pPr>
            <w:r w:rsidRPr="006E7B3F">
              <w:rPr>
                <w:sz w:val="22"/>
                <w:szCs w:val="22"/>
              </w:rPr>
              <w:t>pašvaldību kopīgo problēmu risināšana;</w:t>
            </w:r>
          </w:p>
          <w:p w14:paraId="75418F83" w14:textId="77777777" w:rsidR="00AD75C2" w:rsidRPr="006E7B3F" w:rsidRDefault="00AD75C2" w:rsidP="00BD6681">
            <w:pPr>
              <w:numPr>
                <w:ilvl w:val="0"/>
                <w:numId w:val="29"/>
              </w:numPr>
              <w:ind w:left="240" w:hanging="240"/>
              <w:jc w:val="both"/>
              <w:rPr>
                <w:sz w:val="22"/>
                <w:szCs w:val="22"/>
              </w:rPr>
            </w:pPr>
            <w:r w:rsidRPr="006E7B3F">
              <w:rPr>
                <w:sz w:val="22"/>
                <w:szCs w:val="22"/>
              </w:rPr>
              <w:t>pašvaldību interešu aizstāvēšana.</w:t>
            </w:r>
          </w:p>
          <w:p w14:paraId="2C041300" w14:textId="6F2B861B" w:rsidR="00A557C7" w:rsidRPr="006E7B3F" w:rsidRDefault="00AD75C2" w:rsidP="00BD6681">
            <w:pPr>
              <w:pStyle w:val="naisc"/>
              <w:spacing w:before="0" w:after="0"/>
              <w:ind w:firstLine="5"/>
              <w:jc w:val="both"/>
              <w:rPr>
                <w:b/>
                <w:sz w:val="22"/>
                <w:szCs w:val="22"/>
              </w:rPr>
            </w:pPr>
            <w:r w:rsidRPr="006E7B3F">
              <w:rPr>
                <w:sz w:val="22"/>
                <w:szCs w:val="22"/>
              </w:rPr>
              <w:t>Ņemot vērā iepriekšminēto, uzskatam, ka pašvaldību kopīgo problēmu risināšanai un sadarbībai ar nacionālā līmeņa institūcijām, speciāli nav jāveido vai pilnveido plānošanas reģionus. Tādējādi tiek samazināti valsts tēriņi valsts aparāta uzturēšanai.</w:t>
            </w:r>
          </w:p>
        </w:tc>
        <w:tc>
          <w:tcPr>
            <w:tcW w:w="2551" w:type="dxa"/>
            <w:gridSpan w:val="2"/>
          </w:tcPr>
          <w:p w14:paraId="3359A7BD" w14:textId="4CBC67C0" w:rsidR="00A557C7" w:rsidRPr="006E7B3F" w:rsidRDefault="00A557C7" w:rsidP="00BD6681">
            <w:pPr>
              <w:pStyle w:val="naisc"/>
              <w:spacing w:before="0" w:after="0"/>
              <w:jc w:val="both"/>
              <w:rPr>
                <w:b/>
                <w:sz w:val="22"/>
                <w:szCs w:val="22"/>
              </w:rPr>
            </w:pPr>
            <w:r w:rsidRPr="006E7B3F">
              <w:rPr>
                <w:b/>
                <w:sz w:val="22"/>
                <w:szCs w:val="22"/>
              </w:rPr>
              <w:lastRenderedPageBreak/>
              <w:t>Ņemts vērā</w:t>
            </w:r>
          </w:p>
        </w:tc>
        <w:tc>
          <w:tcPr>
            <w:tcW w:w="3650" w:type="dxa"/>
          </w:tcPr>
          <w:p w14:paraId="12FA42B6" w14:textId="261FCE2D" w:rsidR="00C00885" w:rsidRDefault="00C00885" w:rsidP="00BD6681">
            <w:pPr>
              <w:jc w:val="both"/>
              <w:rPr>
                <w:sz w:val="22"/>
                <w:szCs w:val="22"/>
              </w:rPr>
            </w:pPr>
            <w:r w:rsidRPr="006E7B3F">
              <w:rPr>
                <w:sz w:val="22"/>
                <w:szCs w:val="22"/>
              </w:rPr>
              <w:t xml:space="preserve">Plānošanas reģionu darba plānu rezultatīvie rādītāji  un finanšu </w:t>
            </w:r>
            <w:r w:rsidRPr="006E7B3F">
              <w:rPr>
                <w:sz w:val="22"/>
                <w:szCs w:val="22"/>
              </w:rPr>
              <w:lastRenderedPageBreak/>
              <w:t>izlietojums tiek atspoguļoti atskaitēs  par VARAM pamatbudžeta programmu/apakšprogrammu  un pasākumu, kā arī Eiropas Savienības politiku instrumentu un pārējās ārvalstu finanšu palīdzības līdzfinansēto un finansēto projektu un pasākumu ikgadējās ceturkšņu un gada atskaitēs. Gatavojot konceptuālo  ziņojumu  par  plānošanas reģionu darbības (reģionālā pārvaldes līmeņa) uzlabošanu un kopējas statistiski teritoriālo vienību klasifikācijas (NUTS) izmaiņām, tiks padziļināti izvērtēta arī PR darbība pa to darbības jomām.</w:t>
            </w:r>
          </w:p>
          <w:p w14:paraId="6BE494CC" w14:textId="53E866A8" w:rsidR="009479DB" w:rsidRPr="006E7B3F" w:rsidRDefault="00AD75C2" w:rsidP="00BD6681">
            <w:pPr>
              <w:jc w:val="both"/>
              <w:rPr>
                <w:sz w:val="22"/>
                <w:szCs w:val="22"/>
              </w:rPr>
            </w:pPr>
            <w:r w:rsidRPr="006E7B3F">
              <w:rPr>
                <w:sz w:val="22"/>
                <w:szCs w:val="22"/>
              </w:rPr>
              <w:t>Informatīvais ziņojums neparedz pilnveidot plānošanas reģionus</w:t>
            </w:r>
            <w:r w:rsidR="006E25A1" w:rsidRPr="006E7B3F">
              <w:rPr>
                <w:sz w:val="22"/>
                <w:szCs w:val="22"/>
              </w:rPr>
              <w:t xml:space="preserve"> tikai tamdēļ, lai</w:t>
            </w:r>
            <w:r w:rsidRPr="006E7B3F">
              <w:rPr>
                <w:sz w:val="22"/>
                <w:szCs w:val="22"/>
              </w:rPr>
              <w:t xml:space="preserve"> risinātu pašvaldību kopīgās problēmas un veiktu sadarbību ar nacionālā līmeņa institūcijām</w:t>
            </w:r>
            <w:r w:rsidR="006E25A1" w:rsidRPr="006E7B3F">
              <w:rPr>
                <w:sz w:val="22"/>
                <w:szCs w:val="22"/>
              </w:rPr>
              <w:t xml:space="preserve">. Šīs tiesības PR var izmantot esošā tiesiskā regulējuma ietvaros. </w:t>
            </w:r>
            <w:r w:rsidR="009479DB" w:rsidRPr="006E7B3F">
              <w:rPr>
                <w:sz w:val="22"/>
                <w:szCs w:val="22"/>
              </w:rPr>
              <w:t xml:space="preserve">Informatīvais ziņojums paredz </w:t>
            </w:r>
            <w:r w:rsidR="009479DB" w:rsidRPr="006E7B3F">
              <w:rPr>
                <w:rStyle w:val="FontStyle60"/>
                <w:rFonts w:eastAsiaTheme="minorEastAsia"/>
                <w:lang w:bidi="lo-LA"/>
              </w:rPr>
              <w:t xml:space="preserve">izvērtēt PR kā reģionālās pārvaldes iestādes perspektīvu un stabilitāti ilgtermiņā, jo </w:t>
            </w:r>
            <w:r w:rsidR="009479DB" w:rsidRPr="006E7B3F">
              <w:rPr>
                <w:sz w:val="22"/>
                <w:szCs w:val="22"/>
              </w:rPr>
              <w:t>Latvijas teritoriālajā attīstībā vienmēr nozīmīga loma būs:</w:t>
            </w:r>
          </w:p>
          <w:p w14:paraId="3B2D44C7" w14:textId="77777777" w:rsidR="009479DB" w:rsidRPr="006E7B3F" w:rsidRDefault="009479DB" w:rsidP="00C00885">
            <w:pPr>
              <w:pStyle w:val="ListParagraph"/>
              <w:numPr>
                <w:ilvl w:val="0"/>
                <w:numId w:val="30"/>
              </w:numPr>
              <w:spacing w:after="0" w:line="240" w:lineRule="auto"/>
              <w:ind w:left="318" w:hanging="284"/>
              <w:contextualSpacing w:val="0"/>
              <w:jc w:val="both"/>
              <w:rPr>
                <w:rFonts w:ascii="Times New Roman" w:hAnsi="Times New Roman"/>
              </w:rPr>
            </w:pPr>
            <w:r w:rsidRPr="006E7B3F">
              <w:rPr>
                <w:rFonts w:ascii="Times New Roman" w:hAnsi="Times New Roman"/>
              </w:rPr>
              <w:t xml:space="preserve">reģionāliem projektiem, kas pēc </w:t>
            </w:r>
            <w:r w:rsidRPr="006E7B3F">
              <w:rPr>
                <w:rFonts w:ascii="Times New Roman" w:hAnsi="Times New Roman"/>
                <w:bCs/>
              </w:rPr>
              <w:t>savas nozīmes vai atrašanās vietas iet pāri vienas pašvaldības robežām;</w:t>
            </w:r>
          </w:p>
          <w:p w14:paraId="52B46B12" w14:textId="77777777" w:rsidR="009479DB" w:rsidRPr="006E7B3F" w:rsidRDefault="009479DB" w:rsidP="00C00885">
            <w:pPr>
              <w:pStyle w:val="ListParagraph"/>
              <w:numPr>
                <w:ilvl w:val="0"/>
                <w:numId w:val="30"/>
              </w:numPr>
              <w:tabs>
                <w:tab w:val="num" w:pos="1440"/>
              </w:tabs>
              <w:spacing w:after="0" w:line="240" w:lineRule="auto"/>
              <w:ind w:left="318" w:hanging="284"/>
              <w:contextualSpacing w:val="0"/>
              <w:jc w:val="both"/>
              <w:rPr>
                <w:rFonts w:ascii="Times New Roman" w:hAnsi="Times New Roman"/>
              </w:rPr>
            </w:pPr>
            <w:r w:rsidRPr="006E7B3F">
              <w:rPr>
                <w:rFonts w:ascii="Times New Roman" w:hAnsi="Times New Roman"/>
                <w:bCs/>
              </w:rPr>
              <w:t>investīciju piesaistei reģionāla līmenī</w:t>
            </w:r>
            <w:r w:rsidRPr="006E7B3F">
              <w:rPr>
                <w:rFonts w:ascii="Times New Roman" w:hAnsi="Times New Roman"/>
              </w:rPr>
              <w:t xml:space="preserve"> – pašvaldību kopīgs piedāvājums investīciju piesaistei, </w:t>
            </w:r>
            <w:r w:rsidRPr="006E7B3F">
              <w:rPr>
                <w:rFonts w:ascii="Times New Roman" w:hAnsi="Times New Roman"/>
              </w:rPr>
              <w:lastRenderedPageBreak/>
              <w:t>novēršot neauglīgu konkurenci par iekšējo resursu pārdali;</w:t>
            </w:r>
          </w:p>
          <w:p w14:paraId="6E7C7724" w14:textId="77777777" w:rsidR="009479DB" w:rsidRPr="006E7B3F" w:rsidRDefault="009479DB" w:rsidP="00C00885">
            <w:pPr>
              <w:pStyle w:val="ListParagraph"/>
              <w:numPr>
                <w:ilvl w:val="0"/>
                <w:numId w:val="30"/>
              </w:numPr>
              <w:tabs>
                <w:tab w:val="num" w:pos="1440"/>
              </w:tabs>
              <w:spacing w:after="0" w:line="240" w:lineRule="auto"/>
              <w:ind w:left="318" w:hanging="284"/>
              <w:contextualSpacing w:val="0"/>
              <w:jc w:val="both"/>
              <w:rPr>
                <w:rFonts w:ascii="Times New Roman" w:hAnsi="Times New Roman"/>
              </w:rPr>
            </w:pPr>
            <w:r w:rsidRPr="006E7B3F">
              <w:rPr>
                <w:rFonts w:ascii="Times New Roman" w:hAnsi="Times New Roman"/>
                <w:bCs/>
              </w:rPr>
              <w:t>koordinētas reģionālās inovāciju sistēmas (ekosistēmas) izveidei un attīstībai;</w:t>
            </w:r>
          </w:p>
          <w:p w14:paraId="1184D51B" w14:textId="50779842" w:rsidR="00A557C7" w:rsidRPr="00C00885" w:rsidRDefault="009479DB" w:rsidP="00BD6681">
            <w:pPr>
              <w:pStyle w:val="ListParagraph"/>
              <w:numPr>
                <w:ilvl w:val="0"/>
                <w:numId w:val="30"/>
              </w:numPr>
              <w:tabs>
                <w:tab w:val="num" w:pos="1440"/>
              </w:tabs>
              <w:spacing w:after="0" w:line="240" w:lineRule="auto"/>
              <w:ind w:left="318" w:hanging="284"/>
              <w:contextualSpacing w:val="0"/>
              <w:jc w:val="both"/>
              <w:rPr>
                <w:rFonts w:ascii="Times New Roman" w:hAnsi="Times New Roman"/>
              </w:rPr>
            </w:pPr>
            <w:proofErr w:type="spellStart"/>
            <w:r w:rsidRPr="006E7B3F">
              <w:rPr>
                <w:rFonts w:ascii="Times New Roman" w:hAnsi="Times New Roman"/>
                <w:bCs/>
              </w:rPr>
              <w:t>cilvēkkapitāla</w:t>
            </w:r>
            <w:proofErr w:type="spellEnd"/>
            <w:r w:rsidRPr="006E7B3F">
              <w:rPr>
                <w:rFonts w:ascii="Times New Roman" w:hAnsi="Times New Roman"/>
                <w:bCs/>
              </w:rPr>
              <w:t xml:space="preserve"> piesaistei atbilstoši darba tirgus reģionālajam pieprasījumam un reģionālajai mobilitātei.</w:t>
            </w:r>
          </w:p>
        </w:tc>
      </w:tr>
      <w:tr w:rsidR="00212025" w:rsidRPr="006E7B3F" w14:paraId="2AB228AD" w14:textId="77777777" w:rsidTr="00ED12D2">
        <w:tc>
          <w:tcPr>
            <w:tcW w:w="985" w:type="dxa"/>
          </w:tcPr>
          <w:p w14:paraId="1157B531" w14:textId="77777777" w:rsidR="00212025" w:rsidRPr="006E7B3F" w:rsidRDefault="00212025" w:rsidP="00BD6681">
            <w:pPr>
              <w:pStyle w:val="naisc"/>
              <w:numPr>
                <w:ilvl w:val="0"/>
                <w:numId w:val="1"/>
              </w:numPr>
              <w:spacing w:before="0" w:after="0"/>
              <w:jc w:val="both"/>
              <w:rPr>
                <w:sz w:val="22"/>
                <w:szCs w:val="22"/>
              </w:rPr>
            </w:pPr>
          </w:p>
        </w:tc>
        <w:tc>
          <w:tcPr>
            <w:tcW w:w="3263" w:type="dxa"/>
            <w:gridSpan w:val="2"/>
          </w:tcPr>
          <w:p w14:paraId="6CCED5DD" w14:textId="77777777" w:rsidR="00212025" w:rsidRPr="006E7B3F" w:rsidRDefault="00212025" w:rsidP="00BD6681">
            <w:pPr>
              <w:jc w:val="both"/>
              <w:rPr>
                <w:b/>
                <w:i/>
                <w:sz w:val="22"/>
                <w:szCs w:val="22"/>
              </w:rPr>
            </w:pPr>
          </w:p>
        </w:tc>
        <w:tc>
          <w:tcPr>
            <w:tcW w:w="4536" w:type="dxa"/>
          </w:tcPr>
          <w:p w14:paraId="1F1EAC2D" w14:textId="25C76FBE" w:rsidR="001A41AD" w:rsidRPr="006E7B3F" w:rsidRDefault="001A41AD" w:rsidP="00BD6681">
            <w:pPr>
              <w:pStyle w:val="naisc"/>
              <w:spacing w:before="0" w:after="0"/>
              <w:ind w:firstLine="5"/>
              <w:jc w:val="both"/>
              <w:rPr>
                <w:b/>
                <w:sz w:val="22"/>
                <w:szCs w:val="22"/>
              </w:rPr>
            </w:pPr>
            <w:r w:rsidRPr="006E7B3F">
              <w:rPr>
                <w:b/>
                <w:sz w:val="22"/>
                <w:szCs w:val="22"/>
              </w:rPr>
              <w:t>Latvijas Pašv</w:t>
            </w:r>
            <w:r w:rsidR="009479DB" w:rsidRPr="006E7B3F">
              <w:rPr>
                <w:b/>
                <w:sz w:val="22"/>
                <w:szCs w:val="22"/>
              </w:rPr>
              <w:t>aldību savienības  2019. gada 1.novembra atzinums, 7</w:t>
            </w:r>
            <w:r w:rsidRPr="006E7B3F">
              <w:rPr>
                <w:b/>
                <w:sz w:val="22"/>
                <w:szCs w:val="22"/>
              </w:rPr>
              <w:t xml:space="preserve">. iebildums. </w:t>
            </w:r>
          </w:p>
          <w:p w14:paraId="55EF80E9" w14:textId="51DA8CFC" w:rsidR="00212025" w:rsidRPr="006E7B3F" w:rsidRDefault="009479DB" w:rsidP="00BD6681">
            <w:pPr>
              <w:jc w:val="both"/>
              <w:rPr>
                <w:b/>
                <w:sz w:val="22"/>
                <w:szCs w:val="22"/>
              </w:rPr>
            </w:pPr>
            <w:r w:rsidRPr="006E7B3F">
              <w:rPr>
                <w:sz w:val="22"/>
                <w:szCs w:val="22"/>
              </w:rPr>
              <w:t xml:space="preserve">Nesaskaņojam-  Informatīvo ziņojumu papildināt ar plānošanas reģionu darba plānu </w:t>
            </w:r>
            <w:proofErr w:type="spellStart"/>
            <w:r w:rsidRPr="006E7B3F">
              <w:rPr>
                <w:sz w:val="22"/>
                <w:szCs w:val="22"/>
              </w:rPr>
              <w:t>izvērtējumu</w:t>
            </w:r>
            <w:proofErr w:type="spellEnd"/>
            <w:r w:rsidRPr="006E7B3F">
              <w:rPr>
                <w:sz w:val="22"/>
                <w:szCs w:val="22"/>
              </w:rPr>
              <w:t>.</w:t>
            </w:r>
          </w:p>
        </w:tc>
        <w:tc>
          <w:tcPr>
            <w:tcW w:w="2551" w:type="dxa"/>
            <w:gridSpan w:val="2"/>
          </w:tcPr>
          <w:p w14:paraId="60314DC6" w14:textId="7413B1C1" w:rsidR="00212025" w:rsidRPr="006E7B3F" w:rsidRDefault="00212025" w:rsidP="00BD6681">
            <w:pPr>
              <w:pStyle w:val="naisc"/>
              <w:spacing w:before="0" w:after="0"/>
              <w:jc w:val="both"/>
              <w:rPr>
                <w:b/>
                <w:sz w:val="22"/>
                <w:szCs w:val="22"/>
              </w:rPr>
            </w:pPr>
            <w:r w:rsidRPr="006E7B3F">
              <w:rPr>
                <w:b/>
                <w:sz w:val="22"/>
                <w:szCs w:val="22"/>
              </w:rPr>
              <w:t>Ņemts vērā</w:t>
            </w:r>
          </w:p>
        </w:tc>
        <w:tc>
          <w:tcPr>
            <w:tcW w:w="3650" w:type="dxa"/>
          </w:tcPr>
          <w:p w14:paraId="5E818AAE" w14:textId="360B685C" w:rsidR="00212025" w:rsidRPr="006E7B3F" w:rsidRDefault="009479DB" w:rsidP="00BD6681">
            <w:pPr>
              <w:pStyle w:val="Title"/>
              <w:jc w:val="both"/>
              <w:outlineLvl w:val="0"/>
              <w:rPr>
                <w:sz w:val="22"/>
                <w:szCs w:val="22"/>
              </w:rPr>
            </w:pPr>
            <w:r w:rsidRPr="006E7B3F">
              <w:rPr>
                <w:sz w:val="22"/>
                <w:szCs w:val="22"/>
              </w:rPr>
              <w:t xml:space="preserve">Plānošanas reģionu darba plānu rezultatīvie rādītāji </w:t>
            </w:r>
            <w:r w:rsidR="00431146" w:rsidRPr="006E7B3F">
              <w:rPr>
                <w:sz w:val="22"/>
                <w:szCs w:val="22"/>
              </w:rPr>
              <w:t xml:space="preserve"> </w:t>
            </w:r>
            <w:r w:rsidRPr="006E7B3F">
              <w:rPr>
                <w:sz w:val="22"/>
                <w:szCs w:val="22"/>
              </w:rPr>
              <w:t>un finanšu izlietojums tiek atspoguļoti atskaitēs  par VARAM pamatbudžeta programmu/apakšprogrammu  un pasākumu</w:t>
            </w:r>
            <w:r w:rsidR="00040265" w:rsidRPr="006E7B3F">
              <w:rPr>
                <w:sz w:val="22"/>
                <w:szCs w:val="22"/>
              </w:rPr>
              <w:t xml:space="preserve">, kā arī </w:t>
            </w:r>
            <w:r w:rsidR="00040265" w:rsidRPr="006E7B3F">
              <w:rPr>
                <w:sz w:val="22"/>
                <w:szCs w:val="22"/>
                <w:lang w:eastAsia="lv-LV"/>
              </w:rPr>
              <w:t>Eiropas Savienības politiku instrumentu un pārējās ārvalstu finanšu palīdzības līdzfinansēto</w:t>
            </w:r>
            <w:r w:rsidR="00040265" w:rsidRPr="006E7B3F">
              <w:rPr>
                <w:sz w:val="22"/>
                <w:szCs w:val="22"/>
              </w:rPr>
              <w:t xml:space="preserve"> </w:t>
            </w:r>
            <w:r w:rsidR="00040265" w:rsidRPr="006E7B3F">
              <w:rPr>
                <w:sz w:val="22"/>
                <w:szCs w:val="22"/>
                <w:lang w:eastAsia="lv-LV"/>
              </w:rPr>
              <w:t>un finansēto projektu un pasākumu</w:t>
            </w:r>
            <w:r w:rsidRPr="006E7B3F">
              <w:rPr>
                <w:sz w:val="22"/>
                <w:szCs w:val="22"/>
              </w:rPr>
              <w:t xml:space="preserve"> </w:t>
            </w:r>
            <w:r w:rsidR="00040265" w:rsidRPr="006E7B3F">
              <w:rPr>
                <w:sz w:val="22"/>
                <w:szCs w:val="22"/>
              </w:rPr>
              <w:t xml:space="preserve">ikgadējās ceturkšņu un gada atskaitēs. </w:t>
            </w:r>
            <w:r w:rsidR="001555B5" w:rsidRPr="006E7B3F">
              <w:rPr>
                <w:sz w:val="22"/>
                <w:szCs w:val="22"/>
              </w:rPr>
              <w:t xml:space="preserve">Gatavojot </w:t>
            </w:r>
            <w:r w:rsidR="00276056" w:rsidRPr="006E7B3F">
              <w:rPr>
                <w:sz w:val="22"/>
                <w:szCs w:val="22"/>
              </w:rPr>
              <w:t>konceptuālo  ziņojumu  par  plānošanas reģionu darbības (reģionālā pārvaldes līmeņa) uzlabošanu un kopējas statistiski teritoriālo vienību klasifikācijas (NUTS) izmaiņām, tiks padziļināti izvērtēta arī PR darb</w:t>
            </w:r>
            <w:r w:rsidR="0046003E" w:rsidRPr="006E7B3F">
              <w:rPr>
                <w:sz w:val="22"/>
                <w:szCs w:val="22"/>
              </w:rPr>
              <w:t>ība pa to darbības jomām.</w:t>
            </w:r>
          </w:p>
        </w:tc>
      </w:tr>
      <w:tr w:rsidR="00212025" w:rsidRPr="006E7B3F" w14:paraId="2922814E" w14:textId="77777777" w:rsidTr="00ED12D2">
        <w:tc>
          <w:tcPr>
            <w:tcW w:w="985" w:type="dxa"/>
          </w:tcPr>
          <w:p w14:paraId="67E982E7" w14:textId="77777777" w:rsidR="00212025" w:rsidRPr="006E7B3F" w:rsidRDefault="00212025" w:rsidP="00BD6681">
            <w:pPr>
              <w:pStyle w:val="naisc"/>
              <w:numPr>
                <w:ilvl w:val="0"/>
                <w:numId w:val="1"/>
              </w:numPr>
              <w:spacing w:before="0" w:after="0"/>
              <w:jc w:val="both"/>
              <w:rPr>
                <w:sz w:val="22"/>
                <w:szCs w:val="22"/>
              </w:rPr>
            </w:pPr>
          </w:p>
        </w:tc>
        <w:tc>
          <w:tcPr>
            <w:tcW w:w="3263" w:type="dxa"/>
            <w:gridSpan w:val="2"/>
          </w:tcPr>
          <w:p w14:paraId="044FC7F1" w14:textId="77777777" w:rsidR="00212025" w:rsidRPr="006E7B3F" w:rsidRDefault="00212025" w:rsidP="00BD6681">
            <w:pPr>
              <w:jc w:val="both"/>
              <w:rPr>
                <w:b/>
                <w:i/>
                <w:sz w:val="22"/>
                <w:szCs w:val="22"/>
              </w:rPr>
            </w:pPr>
          </w:p>
        </w:tc>
        <w:tc>
          <w:tcPr>
            <w:tcW w:w="4536" w:type="dxa"/>
          </w:tcPr>
          <w:p w14:paraId="5C51EA8E" w14:textId="6A090503" w:rsidR="001A41AD" w:rsidRPr="006E7B3F" w:rsidRDefault="001A41AD" w:rsidP="00BD6681">
            <w:pPr>
              <w:pStyle w:val="naisc"/>
              <w:spacing w:before="0" w:after="0"/>
              <w:ind w:firstLine="5"/>
              <w:jc w:val="both"/>
              <w:rPr>
                <w:b/>
                <w:sz w:val="22"/>
                <w:szCs w:val="22"/>
              </w:rPr>
            </w:pPr>
            <w:r w:rsidRPr="006E7B3F">
              <w:rPr>
                <w:b/>
                <w:sz w:val="22"/>
                <w:szCs w:val="22"/>
              </w:rPr>
              <w:t xml:space="preserve">Latvijas Pašvaldību savienības  2019. gada </w:t>
            </w:r>
            <w:r w:rsidR="00040265" w:rsidRPr="006E7B3F">
              <w:rPr>
                <w:b/>
                <w:sz w:val="22"/>
                <w:szCs w:val="22"/>
              </w:rPr>
              <w:t>1.novembra atzinums, 8</w:t>
            </w:r>
            <w:r w:rsidRPr="006E7B3F">
              <w:rPr>
                <w:b/>
                <w:sz w:val="22"/>
                <w:szCs w:val="22"/>
              </w:rPr>
              <w:t xml:space="preserve">. iebildums. </w:t>
            </w:r>
          </w:p>
          <w:p w14:paraId="012D4D86" w14:textId="77777777" w:rsidR="00040265" w:rsidRPr="006E7B3F" w:rsidRDefault="00040265" w:rsidP="00BD6681">
            <w:pPr>
              <w:jc w:val="both"/>
              <w:rPr>
                <w:sz w:val="22"/>
                <w:szCs w:val="22"/>
              </w:rPr>
            </w:pPr>
            <w:r w:rsidRPr="006E7B3F">
              <w:rPr>
                <w:sz w:val="22"/>
                <w:szCs w:val="22"/>
              </w:rPr>
              <w:t xml:space="preserve">Saskaņā ar Autotransporta direkcijas (ATD) mājas lapā publiski pieejamo informāciju, ATD ir vienotas valsts politikas realizētāja pasažieru un kravu pārvadājumu jomā. ATD darbība galvenokārt saistīta ar sabiedriskā transporta – pasažieru pārvadājumu ar autobusu un vilcienu – </w:t>
            </w:r>
            <w:r w:rsidRPr="006E7B3F">
              <w:rPr>
                <w:sz w:val="22"/>
                <w:szCs w:val="22"/>
              </w:rPr>
              <w:lastRenderedPageBreak/>
              <w:t>plānošanu, licenču izsniegšanu kravu un pasažieru komercpārvadājumiem un atļauju izsniegšanu starptautisko pārvadājumu veikšanai.</w:t>
            </w:r>
          </w:p>
          <w:p w14:paraId="03B60ADF" w14:textId="4203CA5F" w:rsidR="00212025" w:rsidRPr="006E7B3F" w:rsidRDefault="00040265" w:rsidP="00BD6681">
            <w:pPr>
              <w:jc w:val="both"/>
              <w:rPr>
                <w:sz w:val="22"/>
                <w:szCs w:val="22"/>
              </w:rPr>
            </w:pPr>
            <w:r w:rsidRPr="006E7B3F">
              <w:rPr>
                <w:sz w:val="22"/>
                <w:szCs w:val="22"/>
              </w:rPr>
              <w:t>Ņemot vērā iepriekš minēto, nav skaidrs, kādus sabiedriskā transporta organizēšanas jautājumus risina vēl plānošanas reģioni. Lūdzam paplašināti skaidrot.</w:t>
            </w:r>
          </w:p>
        </w:tc>
        <w:tc>
          <w:tcPr>
            <w:tcW w:w="2551" w:type="dxa"/>
            <w:gridSpan w:val="2"/>
          </w:tcPr>
          <w:p w14:paraId="79CBC7D4" w14:textId="5F9191A1" w:rsidR="00212025" w:rsidRPr="006E7B3F" w:rsidRDefault="00431146" w:rsidP="00BD6681">
            <w:pPr>
              <w:pStyle w:val="naisc"/>
              <w:spacing w:before="0" w:after="0"/>
              <w:jc w:val="both"/>
              <w:rPr>
                <w:b/>
                <w:sz w:val="22"/>
                <w:szCs w:val="22"/>
              </w:rPr>
            </w:pPr>
            <w:r w:rsidRPr="006E7B3F">
              <w:rPr>
                <w:b/>
                <w:sz w:val="22"/>
                <w:szCs w:val="22"/>
              </w:rPr>
              <w:lastRenderedPageBreak/>
              <w:t>Ņemts vērā</w:t>
            </w:r>
          </w:p>
        </w:tc>
        <w:tc>
          <w:tcPr>
            <w:tcW w:w="3650" w:type="dxa"/>
          </w:tcPr>
          <w:p w14:paraId="19BE0069" w14:textId="2219977C" w:rsidR="00212025" w:rsidRPr="006E7B3F" w:rsidRDefault="00276056" w:rsidP="00BD6681">
            <w:pPr>
              <w:jc w:val="both"/>
              <w:rPr>
                <w:sz w:val="22"/>
                <w:szCs w:val="22"/>
              </w:rPr>
            </w:pPr>
            <w:r w:rsidRPr="006E7B3F">
              <w:rPr>
                <w:sz w:val="22"/>
                <w:szCs w:val="22"/>
              </w:rPr>
              <w:t xml:space="preserve">PR pamatdarbības jomas noteiktas Reģionālās attīstības likumā, Diasporas likumā, Sabiedriskā transporta pakalpojumu likumā un Teritorijas attīstības plānošanas likumā, kā arī citos likumos un MK noteikumos. Gatavojot konceptuālo  ziņojumu  par  plānošanas reģionu darbības (reģionālā </w:t>
            </w:r>
            <w:r w:rsidRPr="006E7B3F">
              <w:rPr>
                <w:sz w:val="22"/>
                <w:szCs w:val="22"/>
              </w:rPr>
              <w:lastRenderedPageBreak/>
              <w:t>pārvaldes līmeņa) uzlabošanu un kopējas statistiski teritoriālo vienību klasifikācijas (NUTS) izmaiņām, tiks padziļināti izvērtēta arī PR darbība pa jomām.</w:t>
            </w:r>
          </w:p>
        </w:tc>
      </w:tr>
      <w:tr w:rsidR="00212025" w:rsidRPr="006E7B3F" w14:paraId="0B5DE75D" w14:textId="77777777" w:rsidTr="00ED12D2">
        <w:tc>
          <w:tcPr>
            <w:tcW w:w="985" w:type="dxa"/>
          </w:tcPr>
          <w:p w14:paraId="7E750D7F" w14:textId="77777777" w:rsidR="00212025" w:rsidRPr="006E7B3F" w:rsidRDefault="00212025" w:rsidP="00BD6681">
            <w:pPr>
              <w:pStyle w:val="naisc"/>
              <w:numPr>
                <w:ilvl w:val="0"/>
                <w:numId w:val="1"/>
              </w:numPr>
              <w:spacing w:before="0" w:after="0"/>
              <w:jc w:val="both"/>
              <w:rPr>
                <w:sz w:val="22"/>
                <w:szCs w:val="22"/>
              </w:rPr>
            </w:pPr>
          </w:p>
        </w:tc>
        <w:tc>
          <w:tcPr>
            <w:tcW w:w="3263" w:type="dxa"/>
            <w:gridSpan w:val="2"/>
          </w:tcPr>
          <w:p w14:paraId="6B93C934" w14:textId="6DC1D1CD" w:rsidR="00212025" w:rsidRPr="006E7B3F" w:rsidRDefault="002F2745" w:rsidP="00BD6681">
            <w:pPr>
              <w:jc w:val="both"/>
              <w:rPr>
                <w:b/>
                <w:i/>
                <w:sz w:val="22"/>
                <w:szCs w:val="22"/>
              </w:rPr>
            </w:pPr>
            <w:r w:rsidRPr="006E7B3F">
              <w:rPr>
                <w:sz w:val="22"/>
                <w:szCs w:val="22"/>
              </w:rPr>
              <w:t>3. sasniedzamība starp šī brīža pašvaldību administratīvajiem centriem un iespējamiem administratīvajiem centriem pēc administratīvi teritoriālās reformas</w:t>
            </w:r>
          </w:p>
        </w:tc>
        <w:tc>
          <w:tcPr>
            <w:tcW w:w="4536" w:type="dxa"/>
          </w:tcPr>
          <w:p w14:paraId="2E675FD0" w14:textId="77777777" w:rsidR="00276056" w:rsidRPr="006E7B3F" w:rsidRDefault="001A41AD" w:rsidP="00BD6681">
            <w:pPr>
              <w:pStyle w:val="ListParagraph"/>
              <w:spacing w:after="0" w:line="240" w:lineRule="auto"/>
              <w:ind w:left="0"/>
              <w:contextualSpacing w:val="0"/>
              <w:jc w:val="both"/>
              <w:rPr>
                <w:rFonts w:ascii="Times New Roman" w:hAnsi="Times New Roman"/>
                <w:b/>
              </w:rPr>
            </w:pPr>
            <w:r w:rsidRPr="006E7B3F">
              <w:rPr>
                <w:rFonts w:ascii="Times New Roman" w:hAnsi="Times New Roman"/>
                <w:b/>
              </w:rPr>
              <w:t xml:space="preserve">Latvijas Pašvaldību savienības  2019. gada </w:t>
            </w:r>
            <w:r w:rsidR="00040265" w:rsidRPr="006E7B3F">
              <w:rPr>
                <w:rFonts w:ascii="Times New Roman" w:hAnsi="Times New Roman"/>
                <w:b/>
              </w:rPr>
              <w:t>1.novembra atzinums, 9</w:t>
            </w:r>
            <w:r w:rsidRPr="006E7B3F">
              <w:rPr>
                <w:rFonts w:ascii="Times New Roman" w:hAnsi="Times New Roman"/>
                <w:b/>
              </w:rPr>
              <w:t xml:space="preserve">. iebildums. </w:t>
            </w:r>
          </w:p>
          <w:p w14:paraId="3BC4ECF9" w14:textId="4ED38913" w:rsidR="00040265" w:rsidRPr="006E7B3F" w:rsidRDefault="00040265" w:rsidP="00BD6681">
            <w:pPr>
              <w:pStyle w:val="ListParagraph"/>
              <w:spacing w:after="0" w:line="240" w:lineRule="auto"/>
              <w:ind w:left="0"/>
              <w:contextualSpacing w:val="0"/>
              <w:jc w:val="both"/>
              <w:rPr>
                <w:rFonts w:ascii="Times New Roman" w:hAnsi="Times New Roman"/>
                <w:color w:val="000000"/>
              </w:rPr>
            </w:pPr>
            <w:r w:rsidRPr="006E7B3F">
              <w:rPr>
                <w:rFonts w:ascii="Times New Roman" w:hAnsi="Times New Roman"/>
                <w:color w:val="000000"/>
              </w:rPr>
              <w:t xml:space="preserve">Izvērtējot plānošanas reģionu finansējuma sadalījumu atbilstoši mērķiem, jāsecina, ka administratīviem izdevumiem, t.sk. atalgojumam,  tiek novirzīta lielākā daļa finansējuma. Kā mainīsies šī finansējuma sadalījuma proporcija, pilnveidojot plānošanas reģionu darbību? </w:t>
            </w:r>
          </w:p>
          <w:p w14:paraId="1F9ACAB3" w14:textId="0CC3E9F9" w:rsidR="00212025" w:rsidRPr="006E7B3F" w:rsidRDefault="00040265" w:rsidP="00BD6681">
            <w:pPr>
              <w:pStyle w:val="naisc"/>
              <w:spacing w:before="0" w:after="0"/>
              <w:ind w:firstLine="5"/>
              <w:jc w:val="both"/>
              <w:rPr>
                <w:sz w:val="22"/>
                <w:szCs w:val="22"/>
              </w:rPr>
            </w:pPr>
            <w:r w:rsidRPr="006E7B3F">
              <w:rPr>
                <w:color w:val="000000"/>
                <w:sz w:val="22"/>
                <w:szCs w:val="22"/>
              </w:rPr>
              <w:t>Vienlaikus lūdzam  skaidrot izdevumu pozīciju “Dalība sabiedriskā transporta pakalpojumu organizēšanā”, “</w:t>
            </w:r>
            <w:proofErr w:type="spellStart"/>
            <w:r w:rsidRPr="006E7B3F">
              <w:rPr>
                <w:color w:val="000000"/>
                <w:sz w:val="22"/>
                <w:szCs w:val="22"/>
              </w:rPr>
              <w:t>Remigrācijas</w:t>
            </w:r>
            <w:proofErr w:type="spellEnd"/>
            <w:r w:rsidRPr="006E7B3F">
              <w:rPr>
                <w:color w:val="000000"/>
                <w:sz w:val="22"/>
                <w:szCs w:val="22"/>
              </w:rPr>
              <w:t xml:space="preserve"> pasākumu koordinācija” saturu.</w:t>
            </w:r>
          </w:p>
        </w:tc>
        <w:tc>
          <w:tcPr>
            <w:tcW w:w="2551" w:type="dxa"/>
            <w:gridSpan w:val="2"/>
          </w:tcPr>
          <w:p w14:paraId="105F03C8" w14:textId="6E8CAF31" w:rsidR="00212025" w:rsidRPr="006E7B3F" w:rsidRDefault="00431146" w:rsidP="00BD6681">
            <w:pPr>
              <w:pStyle w:val="naisc"/>
              <w:spacing w:before="0" w:after="0"/>
              <w:jc w:val="both"/>
              <w:rPr>
                <w:b/>
                <w:sz w:val="22"/>
                <w:szCs w:val="22"/>
              </w:rPr>
            </w:pPr>
            <w:r w:rsidRPr="006E7B3F">
              <w:rPr>
                <w:b/>
                <w:sz w:val="22"/>
                <w:szCs w:val="22"/>
              </w:rPr>
              <w:t>Ņemts vērā</w:t>
            </w:r>
          </w:p>
        </w:tc>
        <w:tc>
          <w:tcPr>
            <w:tcW w:w="3650" w:type="dxa"/>
          </w:tcPr>
          <w:p w14:paraId="2820BF76" w14:textId="75D80E8E" w:rsidR="00212025" w:rsidRPr="006E7B3F" w:rsidRDefault="00276056" w:rsidP="00BD6681">
            <w:pPr>
              <w:jc w:val="both"/>
              <w:rPr>
                <w:sz w:val="22"/>
                <w:szCs w:val="22"/>
              </w:rPr>
            </w:pPr>
            <w:r w:rsidRPr="006E7B3F">
              <w:rPr>
                <w:sz w:val="22"/>
                <w:szCs w:val="22"/>
              </w:rPr>
              <w:t>PR pamatdarbības jomas noteiktas Reģionālās attīstības likumā, Diasporas likumā, Sabiedriskā transporta pakalpojumu likumā un Teritorijas attīstības plānošanas likumā, kā arī citos likumos un MK noteikumos. Gatavojot konceptuālo  ziņojumu  par  plānošanas reģionu darbības (reģionālā pārvaldes līmeņa) uzlabošanu un kopējas statistiski teritoriālo vienību klasifikācijas (NUTS) izmaiņām, tiks padziļināti izvērtēta arī PR darbība</w:t>
            </w:r>
            <w:r w:rsidR="00FB3B89">
              <w:rPr>
                <w:sz w:val="22"/>
                <w:szCs w:val="22"/>
              </w:rPr>
              <w:t xml:space="preserve"> un finansējums</w:t>
            </w:r>
            <w:r w:rsidRPr="006E7B3F">
              <w:rPr>
                <w:sz w:val="22"/>
                <w:szCs w:val="22"/>
              </w:rPr>
              <w:t xml:space="preserve"> pa jomām.</w:t>
            </w:r>
          </w:p>
        </w:tc>
      </w:tr>
      <w:tr w:rsidR="00212025" w:rsidRPr="006E7B3F" w14:paraId="459F0B75" w14:textId="77777777" w:rsidTr="00ED12D2">
        <w:tc>
          <w:tcPr>
            <w:tcW w:w="985" w:type="dxa"/>
          </w:tcPr>
          <w:p w14:paraId="0A1CCE9E" w14:textId="77777777" w:rsidR="00212025" w:rsidRPr="006E7B3F" w:rsidRDefault="00212025" w:rsidP="00BD6681">
            <w:pPr>
              <w:pStyle w:val="naisc"/>
              <w:numPr>
                <w:ilvl w:val="0"/>
                <w:numId w:val="1"/>
              </w:numPr>
              <w:spacing w:before="0" w:after="0"/>
              <w:jc w:val="both"/>
              <w:rPr>
                <w:sz w:val="22"/>
                <w:szCs w:val="22"/>
              </w:rPr>
            </w:pPr>
          </w:p>
        </w:tc>
        <w:tc>
          <w:tcPr>
            <w:tcW w:w="3263" w:type="dxa"/>
            <w:gridSpan w:val="2"/>
          </w:tcPr>
          <w:p w14:paraId="0E2F433E" w14:textId="77777777" w:rsidR="00212025" w:rsidRPr="006E7B3F" w:rsidRDefault="00212025" w:rsidP="00BD6681">
            <w:pPr>
              <w:jc w:val="both"/>
              <w:rPr>
                <w:b/>
                <w:i/>
                <w:sz w:val="22"/>
                <w:szCs w:val="22"/>
              </w:rPr>
            </w:pPr>
          </w:p>
        </w:tc>
        <w:tc>
          <w:tcPr>
            <w:tcW w:w="4536" w:type="dxa"/>
          </w:tcPr>
          <w:p w14:paraId="60A10397" w14:textId="19E07443" w:rsidR="001A41AD" w:rsidRPr="006E7B3F" w:rsidRDefault="001A41AD" w:rsidP="00BD6681">
            <w:pPr>
              <w:pStyle w:val="naisc"/>
              <w:spacing w:before="0" w:after="0"/>
              <w:ind w:firstLine="5"/>
              <w:jc w:val="both"/>
              <w:rPr>
                <w:b/>
                <w:sz w:val="22"/>
                <w:szCs w:val="22"/>
              </w:rPr>
            </w:pPr>
            <w:r w:rsidRPr="006E7B3F">
              <w:rPr>
                <w:b/>
                <w:sz w:val="22"/>
                <w:szCs w:val="22"/>
              </w:rPr>
              <w:t xml:space="preserve">Latvijas Pašvaldību savienības  2019. gada </w:t>
            </w:r>
            <w:r w:rsidR="0038006B" w:rsidRPr="006E7B3F">
              <w:rPr>
                <w:b/>
                <w:sz w:val="22"/>
                <w:szCs w:val="22"/>
              </w:rPr>
              <w:t>1.novembra atzinums, 10</w:t>
            </w:r>
            <w:r w:rsidRPr="006E7B3F">
              <w:rPr>
                <w:b/>
                <w:sz w:val="22"/>
                <w:szCs w:val="22"/>
              </w:rPr>
              <w:t xml:space="preserve">. iebildums. </w:t>
            </w:r>
          </w:p>
          <w:p w14:paraId="0992F02A" w14:textId="77A58321" w:rsidR="0038006B" w:rsidRPr="006E7B3F" w:rsidRDefault="0038006B" w:rsidP="00BD6681">
            <w:pPr>
              <w:pStyle w:val="ListParagraph"/>
              <w:spacing w:after="0" w:line="240" w:lineRule="auto"/>
              <w:ind w:left="0"/>
              <w:contextualSpacing w:val="0"/>
              <w:jc w:val="both"/>
              <w:rPr>
                <w:rFonts w:ascii="Times New Roman" w:hAnsi="Times New Roman"/>
                <w:color w:val="000000"/>
              </w:rPr>
            </w:pPr>
            <w:r w:rsidRPr="006E7B3F">
              <w:rPr>
                <w:rFonts w:ascii="Times New Roman" w:hAnsi="Times New Roman"/>
                <w:color w:val="000000"/>
              </w:rPr>
              <w:t>Iebilstam, ka bez padziļinātas analīzes un argumentiem par otrā līmeņa pašvaldību un plānošanas reģionu pozitīvajām un negatīvajām iezīmēm tiek pieņemts lēmums par plānošanas reģionu kā reģionālās institūcijas pārvaldes uzlabošanu.</w:t>
            </w:r>
          </w:p>
          <w:p w14:paraId="46334BB5" w14:textId="78EDFD07" w:rsidR="00212025" w:rsidRPr="006E7B3F" w:rsidRDefault="0038006B" w:rsidP="00BD6681">
            <w:pPr>
              <w:pStyle w:val="ListParagraph"/>
              <w:spacing w:after="0" w:line="240" w:lineRule="auto"/>
              <w:ind w:left="0"/>
              <w:contextualSpacing w:val="0"/>
              <w:jc w:val="both"/>
              <w:rPr>
                <w:rFonts w:ascii="Times New Roman" w:hAnsi="Times New Roman"/>
                <w:color w:val="000000"/>
              </w:rPr>
            </w:pPr>
            <w:r w:rsidRPr="006E7B3F">
              <w:rPr>
                <w:rFonts w:ascii="Times New Roman" w:hAnsi="Times New Roman"/>
                <w:color w:val="000000"/>
              </w:rPr>
              <w:t>Svītrot- neveido otrā līmeņa pašvaldības, to izvērtēt atsevišķa konceptuālā ziņojumā.</w:t>
            </w:r>
          </w:p>
        </w:tc>
        <w:tc>
          <w:tcPr>
            <w:tcW w:w="2551" w:type="dxa"/>
            <w:gridSpan w:val="2"/>
          </w:tcPr>
          <w:p w14:paraId="38EC42B6" w14:textId="2629E59C" w:rsidR="00212025" w:rsidRPr="006E7B3F" w:rsidRDefault="00431146" w:rsidP="00BD6681">
            <w:pPr>
              <w:pStyle w:val="naisc"/>
              <w:spacing w:before="0" w:after="0"/>
              <w:jc w:val="both"/>
              <w:rPr>
                <w:b/>
                <w:sz w:val="22"/>
                <w:szCs w:val="22"/>
              </w:rPr>
            </w:pPr>
            <w:r w:rsidRPr="006E7B3F">
              <w:rPr>
                <w:b/>
                <w:sz w:val="22"/>
                <w:szCs w:val="22"/>
              </w:rPr>
              <w:t>Ņemts vērā</w:t>
            </w:r>
          </w:p>
        </w:tc>
        <w:tc>
          <w:tcPr>
            <w:tcW w:w="3650" w:type="dxa"/>
          </w:tcPr>
          <w:p w14:paraId="1C2AF030" w14:textId="77777777" w:rsidR="00212025" w:rsidRDefault="0046003E" w:rsidP="00BD6681">
            <w:pPr>
              <w:tabs>
                <w:tab w:val="left" w:pos="6840"/>
              </w:tabs>
              <w:jc w:val="both"/>
              <w:rPr>
                <w:color w:val="000000"/>
                <w:sz w:val="22"/>
                <w:szCs w:val="22"/>
              </w:rPr>
            </w:pPr>
            <w:r w:rsidRPr="006E7B3F">
              <w:rPr>
                <w:color w:val="000000"/>
                <w:sz w:val="22"/>
                <w:szCs w:val="22"/>
              </w:rPr>
              <w:t>Padziļināta analīze un argumenti par otrā līmeņa pašvaldību un plānošanas reģionu pozitīvajām un negatīvajām iezīmēm tiks ve</w:t>
            </w:r>
            <w:r w:rsidR="006E7B3F" w:rsidRPr="006E7B3F">
              <w:rPr>
                <w:color w:val="000000"/>
                <w:sz w:val="22"/>
                <w:szCs w:val="22"/>
              </w:rPr>
              <w:t>i</w:t>
            </w:r>
            <w:r w:rsidRPr="006E7B3F">
              <w:rPr>
                <w:color w:val="000000"/>
                <w:sz w:val="22"/>
                <w:szCs w:val="22"/>
              </w:rPr>
              <w:t>kta</w:t>
            </w:r>
            <w:r w:rsidR="006E7B3F" w:rsidRPr="006E7B3F">
              <w:rPr>
                <w:color w:val="000000"/>
                <w:sz w:val="22"/>
                <w:szCs w:val="22"/>
              </w:rPr>
              <w:t xml:space="preserve"> </w:t>
            </w:r>
            <w:r w:rsidR="006E7B3F" w:rsidRPr="006E7B3F">
              <w:rPr>
                <w:sz w:val="22"/>
                <w:szCs w:val="22"/>
              </w:rPr>
              <w:t>gatavojot konceptuālo  ziņojumu  par  plānošanas reģionu darbības (reģionālā pārvaldes līmeņa) uzlabošanu un kopējas statistiski teritoriālo vienību klasifikācijas (NUTS) izmaiņām, tiks padziļināti izvērtēta arī PR darbība pa jomām.</w:t>
            </w:r>
            <w:r w:rsidRPr="006E7B3F">
              <w:rPr>
                <w:color w:val="000000"/>
                <w:sz w:val="22"/>
                <w:szCs w:val="22"/>
              </w:rPr>
              <w:t xml:space="preserve"> </w:t>
            </w:r>
          </w:p>
          <w:p w14:paraId="5AC7FF6E" w14:textId="0D228064" w:rsidR="003C0A95" w:rsidRPr="006E7B3F" w:rsidRDefault="003C0A95" w:rsidP="00BD6681">
            <w:pPr>
              <w:tabs>
                <w:tab w:val="left" w:pos="6840"/>
              </w:tabs>
              <w:jc w:val="both"/>
              <w:rPr>
                <w:sz w:val="22"/>
                <w:szCs w:val="22"/>
              </w:rPr>
            </w:pPr>
            <w:r w:rsidRPr="00C00885">
              <w:rPr>
                <w:sz w:val="22"/>
                <w:szCs w:val="22"/>
              </w:rPr>
              <w:t xml:space="preserve">Vienlaikus informatīvais ziņojums papildināts ar sekojošu tekstu: “sagatavojot risinājumus plānošanas reģionu darbības uzlabošanai </w:t>
            </w:r>
            <w:r w:rsidRPr="00C00885">
              <w:rPr>
                <w:sz w:val="22"/>
                <w:szCs w:val="22"/>
              </w:rPr>
              <w:lastRenderedPageBreak/>
              <w:t xml:space="preserve">konceptuālā  ziņojuma  par  plānošanas reģionu darbības (reģionālā pārvaldes līmeņa) uzlabošanu un kopējas statistiski teritoriālo vienību klasifikācijas (NUTS) izmaiņām ietvaros, tiks sniegts arī vērtējums par </w:t>
            </w:r>
            <w:proofErr w:type="spellStart"/>
            <w:r w:rsidRPr="00C00885">
              <w:rPr>
                <w:sz w:val="22"/>
                <w:szCs w:val="22"/>
              </w:rPr>
              <w:t>apriņķu</w:t>
            </w:r>
            <w:proofErr w:type="spellEnd"/>
            <w:r w:rsidRPr="00C00885">
              <w:rPr>
                <w:sz w:val="22"/>
                <w:szCs w:val="22"/>
              </w:rPr>
              <w:t xml:space="preserve"> (reģionālo) pašvaldību izveides nepieciešamību.”</w:t>
            </w:r>
          </w:p>
        </w:tc>
      </w:tr>
      <w:tr w:rsidR="00212025" w:rsidRPr="006E7B3F" w14:paraId="44312C05" w14:textId="77777777" w:rsidTr="00ED12D2">
        <w:tc>
          <w:tcPr>
            <w:tcW w:w="985" w:type="dxa"/>
          </w:tcPr>
          <w:p w14:paraId="19D77BA6" w14:textId="77777777" w:rsidR="00212025" w:rsidRPr="006E7B3F" w:rsidRDefault="00212025" w:rsidP="00BD6681">
            <w:pPr>
              <w:pStyle w:val="naisc"/>
              <w:numPr>
                <w:ilvl w:val="0"/>
                <w:numId w:val="1"/>
              </w:numPr>
              <w:spacing w:before="0" w:after="0"/>
              <w:jc w:val="both"/>
              <w:rPr>
                <w:sz w:val="22"/>
                <w:szCs w:val="22"/>
              </w:rPr>
            </w:pPr>
          </w:p>
        </w:tc>
        <w:tc>
          <w:tcPr>
            <w:tcW w:w="3263" w:type="dxa"/>
            <w:gridSpan w:val="2"/>
          </w:tcPr>
          <w:p w14:paraId="7AAF48B2" w14:textId="77777777" w:rsidR="00212025" w:rsidRPr="006E7B3F" w:rsidRDefault="00212025" w:rsidP="00BD6681">
            <w:pPr>
              <w:jc w:val="both"/>
              <w:rPr>
                <w:b/>
                <w:i/>
                <w:sz w:val="22"/>
                <w:szCs w:val="22"/>
              </w:rPr>
            </w:pPr>
          </w:p>
        </w:tc>
        <w:tc>
          <w:tcPr>
            <w:tcW w:w="4536" w:type="dxa"/>
          </w:tcPr>
          <w:p w14:paraId="0BB4099F" w14:textId="634192DF" w:rsidR="00933897" w:rsidRPr="006E7B3F" w:rsidRDefault="00933897" w:rsidP="00BD6681">
            <w:pPr>
              <w:pStyle w:val="naisc"/>
              <w:spacing w:before="0" w:after="0"/>
              <w:ind w:firstLine="5"/>
              <w:jc w:val="both"/>
              <w:rPr>
                <w:b/>
                <w:sz w:val="22"/>
                <w:szCs w:val="22"/>
              </w:rPr>
            </w:pPr>
            <w:r w:rsidRPr="006E7B3F">
              <w:rPr>
                <w:b/>
                <w:sz w:val="22"/>
                <w:szCs w:val="22"/>
              </w:rPr>
              <w:t xml:space="preserve">Latvijas Pašvaldību savienības  2019. gada </w:t>
            </w:r>
            <w:r w:rsidR="0038006B" w:rsidRPr="006E7B3F">
              <w:rPr>
                <w:b/>
                <w:sz w:val="22"/>
                <w:szCs w:val="22"/>
              </w:rPr>
              <w:t>1.novembra atzinums, 11</w:t>
            </w:r>
            <w:r w:rsidRPr="006E7B3F">
              <w:rPr>
                <w:b/>
                <w:sz w:val="22"/>
                <w:szCs w:val="22"/>
              </w:rPr>
              <w:t xml:space="preserve">. iebildums. </w:t>
            </w:r>
          </w:p>
          <w:p w14:paraId="3184DA1D" w14:textId="02861BE3" w:rsidR="00212025" w:rsidRPr="006E7B3F" w:rsidRDefault="0038006B" w:rsidP="00BD6681">
            <w:pPr>
              <w:jc w:val="both"/>
              <w:rPr>
                <w:sz w:val="22"/>
                <w:szCs w:val="22"/>
              </w:rPr>
            </w:pPr>
            <w:r w:rsidRPr="006E7B3F">
              <w:rPr>
                <w:sz w:val="22"/>
                <w:szCs w:val="22"/>
              </w:rPr>
              <w:t>Aicinām atbildīgo ministriju papildināt informatīvā ziņojuma projekta tekstu ar informāciju par jau iepriekš notikušajām sarunām ar nozaru ministrijām par funkciju deleģēšanu plānošanas reģioniem, iekļaujot arī analīzi par to, kāpēc iepriekšējās reizēs nozaru ministrijas nepieņēma lēmumu deleģēt funkcijas plānošanas reģioniem.</w:t>
            </w:r>
          </w:p>
        </w:tc>
        <w:tc>
          <w:tcPr>
            <w:tcW w:w="2551" w:type="dxa"/>
            <w:gridSpan w:val="2"/>
          </w:tcPr>
          <w:p w14:paraId="50B05157" w14:textId="305A606C" w:rsidR="00212025" w:rsidRPr="006E7B3F" w:rsidRDefault="00431146" w:rsidP="00BD6681">
            <w:pPr>
              <w:pStyle w:val="naisc"/>
              <w:spacing w:before="0" w:after="0"/>
              <w:jc w:val="both"/>
              <w:rPr>
                <w:b/>
                <w:sz w:val="22"/>
                <w:szCs w:val="22"/>
              </w:rPr>
            </w:pPr>
            <w:r w:rsidRPr="006E7B3F">
              <w:rPr>
                <w:b/>
                <w:sz w:val="22"/>
                <w:szCs w:val="22"/>
              </w:rPr>
              <w:t>Ņemts vērā</w:t>
            </w:r>
          </w:p>
        </w:tc>
        <w:tc>
          <w:tcPr>
            <w:tcW w:w="3650" w:type="dxa"/>
          </w:tcPr>
          <w:p w14:paraId="38E71D48" w14:textId="77777777" w:rsidR="00212025" w:rsidRDefault="003C0A95" w:rsidP="00BD6681">
            <w:pPr>
              <w:pStyle w:val="Title"/>
              <w:jc w:val="both"/>
              <w:outlineLvl w:val="0"/>
              <w:rPr>
                <w:sz w:val="24"/>
                <w:szCs w:val="24"/>
              </w:rPr>
            </w:pPr>
            <w:r>
              <w:rPr>
                <w:sz w:val="22"/>
                <w:szCs w:val="22"/>
              </w:rPr>
              <w:t>Informatīvais ziņojums papildināts ar sekojošu tekstu: “</w:t>
            </w:r>
            <w:r w:rsidRPr="003C0A95">
              <w:rPr>
                <w:sz w:val="22"/>
                <w:szCs w:val="22"/>
              </w:rPr>
              <w:t>Uz doto brīdi VARAM ir veikusi sarunas ar atsevišķām nozaru ministrijām par funkciju deleģēšanu plānošanas reģioniem, piemēram, sadarbībā ar Ekonomikas ministriju izvērtējot iespēju plānošanas reģionu funkcijās ietvert enerģētikas un klimata plānu izstrādi reģionam, kā arī enerģētikas mērķu izpildes monitoringu un ziņošanu. Arī turpmāk VARAM plāno sadarbībā ar plānošanas reģioniem turpināt sarunas ar nozaru ministrijām</w:t>
            </w:r>
            <w:r>
              <w:rPr>
                <w:sz w:val="22"/>
                <w:szCs w:val="22"/>
              </w:rPr>
              <w:t>”</w:t>
            </w:r>
            <w:r w:rsidRPr="003C0A95">
              <w:rPr>
                <w:sz w:val="22"/>
                <w:szCs w:val="22"/>
              </w:rPr>
              <w:t>.</w:t>
            </w:r>
            <w:r w:rsidR="00D55F18">
              <w:rPr>
                <w:sz w:val="22"/>
                <w:szCs w:val="22"/>
              </w:rPr>
              <w:t xml:space="preserve"> Tāpat informatīvā ziņojuma teksts ir papildināts ar teikumu sekojošā redakcijā: “</w:t>
            </w:r>
            <w:r w:rsidR="00D55F18">
              <w:rPr>
                <w:sz w:val="24"/>
                <w:szCs w:val="24"/>
              </w:rPr>
              <w:t>MK informatīvo ziņojumu par Reģionālās attīstības likuma 25. panta otrās daļas un 26. panta izpildes organizēšanu 2014.–2015. gados izskatīja 2016.gada 5.jūlija sēdē un to nosūtīja Saeimai.”, kā arī norādīta atsauce uz minēto dokumentu.</w:t>
            </w:r>
          </w:p>
          <w:p w14:paraId="172D6966" w14:textId="5A4F96C7" w:rsidR="00AE2C4D" w:rsidRPr="006E7B3F" w:rsidRDefault="00AE2C4D" w:rsidP="00BD6681">
            <w:pPr>
              <w:pStyle w:val="Title"/>
              <w:jc w:val="both"/>
              <w:outlineLvl w:val="0"/>
              <w:rPr>
                <w:sz w:val="22"/>
                <w:szCs w:val="22"/>
              </w:rPr>
            </w:pPr>
          </w:p>
        </w:tc>
      </w:tr>
      <w:tr w:rsidR="00C4080C" w:rsidRPr="006E7B3F" w14:paraId="39B88367" w14:textId="77777777" w:rsidTr="00ED12D2">
        <w:tc>
          <w:tcPr>
            <w:tcW w:w="985" w:type="dxa"/>
          </w:tcPr>
          <w:p w14:paraId="6DD820E2" w14:textId="77777777" w:rsidR="00C4080C" w:rsidRPr="006E7B3F" w:rsidRDefault="00C4080C" w:rsidP="00BD6681">
            <w:pPr>
              <w:pStyle w:val="naisc"/>
              <w:spacing w:before="0" w:after="0"/>
              <w:ind w:left="615"/>
              <w:jc w:val="both"/>
              <w:rPr>
                <w:sz w:val="22"/>
                <w:szCs w:val="22"/>
              </w:rPr>
            </w:pPr>
          </w:p>
        </w:tc>
        <w:tc>
          <w:tcPr>
            <w:tcW w:w="3263" w:type="dxa"/>
            <w:gridSpan w:val="2"/>
          </w:tcPr>
          <w:p w14:paraId="1772673B" w14:textId="77777777" w:rsidR="00C4080C" w:rsidRPr="006E7B3F" w:rsidRDefault="00C4080C" w:rsidP="00BD6681">
            <w:pPr>
              <w:jc w:val="both"/>
              <w:rPr>
                <w:b/>
                <w:i/>
                <w:sz w:val="22"/>
                <w:szCs w:val="22"/>
              </w:rPr>
            </w:pPr>
          </w:p>
        </w:tc>
        <w:tc>
          <w:tcPr>
            <w:tcW w:w="4536" w:type="dxa"/>
          </w:tcPr>
          <w:p w14:paraId="5B76C7A9" w14:textId="4CAE8E08" w:rsidR="00C4080C" w:rsidRPr="006E7B3F" w:rsidRDefault="00C4080C" w:rsidP="00BD6681">
            <w:pPr>
              <w:jc w:val="both"/>
              <w:rPr>
                <w:b/>
                <w:sz w:val="22"/>
                <w:szCs w:val="22"/>
              </w:rPr>
            </w:pPr>
            <w:r w:rsidRPr="006E7B3F">
              <w:rPr>
                <w:b/>
                <w:sz w:val="22"/>
                <w:szCs w:val="22"/>
              </w:rPr>
              <w:t xml:space="preserve">Latvijas Lielo </w:t>
            </w:r>
            <w:r w:rsidR="00A1071B" w:rsidRPr="006E7B3F">
              <w:rPr>
                <w:b/>
                <w:sz w:val="22"/>
                <w:szCs w:val="22"/>
              </w:rPr>
              <w:t>p</w:t>
            </w:r>
            <w:r w:rsidRPr="006E7B3F">
              <w:rPr>
                <w:b/>
                <w:sz w:val="22"/>
                <w:szCs w:val="22"/>
              </w:rPr>
              <w:t>ilsētu asociācija</w:t>
            </w:r>
          </w:p>
        </w:tc>
        <w:tc>
          <w:tcPr>
            <w:tcW w:w="2551" w:type="dxa"/>
            <w:gridSpan w:val="2"/>
          </w:tcPr>
          <w:p w14:paraId="76D68E8F" w14:textId="77777777" w:rsidR="00C4080C" w:rsidRPr="006E7B3F" w:rsidRDefault="00C4080C" w:rsidP="00BD6681">
            <w:pPr>
              <w:pStyle w:val="naisc"/>
              <w:spacing w:before="0" w:after="0"/>
              <w:jc w:val="both"/>
              <w:rPr>
                <w:sz w:val="22"/>
                <w:szCs w:val="22"/>
              </w:rPr>
            </w:pPr>
          </w:p>
        </w:tc>
        <w:tc>
          <w:tcPr>
            <w:tcW w:w="3650" w:type="dxa"/>
          </w:tcPr>
          <w:p w14:paraId="202800EF" w14:textId="77777777" w:rsidR="00C4080C" w:rsidRPr="006E7B3F" w:rsidRDefault="00C4080C" w:rsidP="00BD6681">
            <w:pPr>
              <w:jc w:val="both"/>
              <w:rPr>
                <w:sz w:val="22"/>
                <w:szCs w:val="22"/>
              </w:rPr>
            </w:pPr>
          </w:p>
        </w:tc>
      </w:tr>
      <w:tr w:rsidR="00C4080C" w:rsidRPr="006E7B3F" w14:paraId="0797D738" w14:textId="77777777" w:rsidTr="00ED12D2">
        <w:tc>
          <w:tcPr>
            <w:tcW w:w="985" w:type="dxa"/>
          </w:tcPr>
          <w:p w14:paraId="7695D132" w14:textId="77777777" w:rsidR="00C4080C" w:rsidRPr="006E7B3F" w:rsidRDefault="00C4080C" w:rsidP="00BD6681">
            <w:pPr>
              <w:pStyle w:val="naisc"/>
              <w:numPr>
                <w:ilvl w:val="0"/>
                <w:numId w:val="1"/>
              </w:numPr>
              <w:spacing w:before="0" w:after="0"/>
              <w:jc w:val="both"/>
              <w:rPr>
                <w:sz w:val="22"/>
                <w:szCs w:val="22"/>
              </w:rPr>
            </w:pPr>
          </w:p>
        </w:tc>
        <w:tc>
          <w:tcPr>
            <w:tcW w:w="3263" w:type="dxa"/>
            <w:gridSpan w:val="2"/>
          </w:tcPr>
          <w:p w14:paraId="6C874FA4" w14:textId="6864D2D1" w:rsidR="00C4080C" w:rsidRPr="007B17AC" w:rsidRDefault="007B17AC" w:rsidP="00BD6681">
            <w:pPr>
              <w:jc w:val="both"/>
              <w:rPr>
                <w:b/>
                <w:sz w:val="22"/>
                <w:szCs w:val="22"/>
              </w:rPr>
            </w:pPr>
            <w:r>
              <w:rPr>
                <w:b/>
                <w:sz w:val="22"/>
                <w:szCs w:val="22"/>
              </w:rPr>
              <w:t>Vispārīgs iebildums</w:t>
            </w:r>
          </w:p>
        </w:tc>
        <w:tc>
          <w:tcPr>
            <w:tcW w:w="4536" w:type="dxa"/>
          </w:tcPr>
          <w:p w14:paraId="3F6E6280" w14:textId="010C2019" w:rsidR="003D552A" w:rsidRPr="007347FF" w:rsidRDefault="003D552A" w:rsidP="007347FF">
            <w:pPr>
              <w:pStyle w:val="naisc"/>
              <w:spacing w:before="0" w:after="0"/>
              <w:ind w:firstLine="5"/>
              <w:jc w:val="both"/>
              <w:rPr>
                <w:b/>
              </w:rPr>
            </w:pPr>
            <w:r w:rsidRPr="007347FF">
              <w:rPr>
                <w:b/>
              </w:rPr>
              <w:t>Latvijas Lielo p</w:t>
            </w:r>
            <w:r w:rsidR="007B17AC" w:rsidRPr="007347FF">
              <w:rPr>
                <w:b/>
              </w:rPr>
              <w:t>ilsētu asociācijas 2019. gada 6.</w:t>
            </w:r>
            <w:r w:rsidR="006E7B3F" w:rsidRPr="007347FF">
              <w:rPr>
                <w:b/>
              </w:rPr>
              <w:t>novembra</w:t>
            </w:r>
            <w:r w:rsidRPr="007347FF">
              <w:rPr>
                <w:b/>
              </w:rPr>
              <w:t xml:space="preserve"> atzinums, 1. iebildums. </w:t>
            </w:r>
          </w:p>
          <w:p w14:paraId="7357FA88" w14:textId="180CC507" w:rsidR="007B17AC" w:rsidRPr="007347FF" w:rsidRDefault="007B17AC" w:rsidP="007347FF">
            <w:pPr>
              <w:pStyle w:val="ListParagraph"/>
              <w:spacing w:after="0" w:line="240" w:lineRule="auto"/>
              <w:ind w:left="0"/>
              <w:jc w:val="both"/>
              <w:rPr>
                <w:rFonts w:ascii="Times New Roman" w:hAnsi="Times New Roman"/>
                <w:b/>
                <w:bCs/>
                <w:color w:val="000000"/>
                <w:sz w:val="24"/>
                <w:szCs w:val="24"/>
              </w:rPr>
            </w:pPr>
            <w:r w:rsidRPr="007347FF">
              <w:rPr>
                <w:rFonts w:ascii="Times New Roman" w:hAnsi="Times New Roman"/>
                <w:color w:val="000000"/>
                <w:sz w:val="24"/>
                <w:szCs w:val="24"/>
              </w:rPr>
              <w:t xml:space="preserve">Ministru kabineta </w:t>
            </w:r>
            <w:proofErr w:type="spellStart"/>
            <w:r w:rsidRPr="007347FF">
              <w:rPr>
                <w:rFonts w:ascii="Times New Roman" w:hAnsi="Times New Roman"/>
                <w:color w:val="000000"/>
                <w:sz w:val="24"/>
                <w:szCs w:val="24"/>
              </w:rPr>
              <w:t>protokollēmuma</w:t>
            </w:r>
            <w:proofErr w:type="spellEnd"/>
            <w:r w:rsidRPr="007347FF">
              <w:rPr>
                <w:rFonts w:ascii="Times New Roman" w:hAnsi="Times New Roman"/>
                <w:color w:val="000000"/>
                <w:sz w:val="24"/>
                <w:szCs w:val="24"/>
              </w:rPr>
              <w:t xml:space="preserve"> projektu un informatīvā ziņojuma “Par plānošanas reģionu darbības pilnveidošanu” projektā (turpmāk – Informatīvā ziņojuma projekts)</w:t>
            </w:r>
            <w:r w:rsidRPr="007347FF">
              <w:rPr>
                <w:rFonts w:ascii="Times New Roman" w:hAnsi="Times New Roman"/>
                <w:b/>
                <w:color w:val="000000"/>
                <w:sz w:val="24"/>
                <w:szCs w:val="24"/>
              </w:rPr>
              <w:t xml:space="preserve"> </w:t>
            </w:r>
            <w:r w:rsidRPr="007347FF">
              <w:rPr>
                <w:rFonts w:ascii="Times New Roman" w:hAnsi="Times New Roman"/>
                <w:bCs/>
                <w:color w:val="000000"/>
                <w:sz w:val="24"/>
                <w:szCs w:val="24"/>
                <w:u w:val="single"/>
              </w:rPr>
              <w:t>tiek sniegtas atsauces, ka plānošanas reģioni organizē nozīmīgus reģionāla mēroga projektus,</w:t>
            </w:r>
            <w:r w:rsidRPr="007347FF">
              <w:rPr>
                <w:rFonts w:ascii="Times New Roman" w:hAnsi="Times New Roman"/>
                <w:color w:val="000000"/>
                <w:sz w:val="24"/>
                <w:szCs w:val="24"/>
              </w:rPr>
              <w:t xml:space="preserve"> tādējādi </w:t>
            </w:r>
            <w:r w:rsidRPr="007347FF">
              <w:rPr>
                <w:rFonts w:ascii="Times New Roman" w:hAnsi="Times New Roman"/>
                <w:color w:val="000000"/>
                <w:sz w:val="24"/>
                <w:szCs w:val="24"/>
                <w:u w:val="single"/>
              </w:rPr>
              <w:t>tiek sniegts vispārējs apgalvojums bez šī apgalvojuma pierādījuma</w:t>
            </w:r>
            <w:r w:rsidRPr="007347FF">
              <w:rPr>
                <w:rFonts w:ascii="Times New Roman" w:hAnsi="Times New Roman"/>
                <w:b/>
                <w:bCs/>
                <w:color w:val="000000"/>
                <w:sz w:val="24"/>
                <w:szCs w:val="24"/>
              </w:rPr>
              <w:t>,</w:t>
            </w:r>
            <w:r w:rsidRPr="007347FF">
              <w:rPr>
                <w:rFonts w:ascii="Times New Roman" w:hAnsi="Times New Roman"/>
                <w:color w:val="000000"/>
                <w:sz w:val="24"/>
                <w:szCs w:val="24"/>
              </w:rPr>
              <w:t xml:space="preserve"> kas pamatots ar statistikas datu analīzi un projektu ieguldījuma efektivitātes </w:t>
            </w:r>
            <w:proofErr w:type="spellStart"/>
            <w:r w:rsidRPr="007347FF">
              <w:rPr>
                <w:rFonts w:ascii="Times New Roman" w:hAnsi="Times New Roman"/>
                <w:color w:val="000000"/>
                <w:sz w:val="24"/>
                <w:szCs w:val="24"/>
              </w:rPr>
              <w:t>izvērtējumu</w:t>
            </w:r>
            <w:proofErr w:type="spellEnd"/>
            <w:r w:rsidRPr="007347FF">
              <w:rPr>
                <w:rFonts w:ascii="Times New Roman" w:hAnsi="Times New Roman"/>
                <w:color w:val="000000"/>
                <w:sz w:val="24"/>
                <w:szCs w:val="24"/>
              </w:rPr>
              <w:t xml:space="preserve">. </w:t>
            </w:r>
            <w:r w:rsidRPr="007347FF">
              <w:rPr>
                <w:rFonts w:ascii="Times New Roman" w:hAnsi="Times New Roman"/>
                <w:b/>
                <w:bCs/>
                <w:color w:val="000000"/>
                <w:sz w:val="24"/>
                <w:szCs w:val="24"/>
              </w:rPr>
              <w:t xml:space="preserve">Ierosinām papildināt Informatīvā ziņojuma projektu ar reģionālo projektu uzskatījumu, kā arī to sasniegtajiem un/vai sagaidāmajiem rezultātiem. </w:t>
            </w:r>
          </w:p>
          <w:p w14:paraId="732A869B" w14:textId="3CEF55D1" w:rsidR="007B17AC" w:rsidRPr="007347FF" w:rsidRDefault="007B17AC" w:rsidP="007347FF">
            <w:pPr>
              <w:pStyle w:val="ListParagraph"/>
              <w:spacing w:after="0" w:line="240" w:lineRule="auto"/>
              <w:ind w:left="0"/>
              <w:jc w:val="both"/>
              <w:rPr>
                <w:rFonts w:ascii="Times New Roman" w:hAnsi="Times New Roman"/>
                <w:color w:val="000000"/>
                <w:sz w:val="24"/>
                <w:szCs w:val="24"/>
              </w:rPr>
            </w:pPr>
            <w:r w:rsidRPr="007347FF">
              <w:rPr>
                <w:rFonts w:ascii="Times New Roman" w:hAnsi="Times New Roman"/>
                <w:color w:val="000000"/>
                <w:sz w:val="24"/>
                <w:szCs w:val="24"/>
              </w:rPr>
              <w:t xml:space="preserve">Šobrīd izveidotā Eiropas Savienības (turpmāk – ES) fondu ieviešanas sistēma darbojas efektīvi ar vienu sadarbības iestādi Centrālo finanšu un līgumu aģentūru (turpmāk – CFLA), ir skaidri nosacījumi, vienota pieeja ES fondu ieviešanā. </w:t>
            </w:r>
            <w:r w:rsidRPr="007347FF">
              <w:rPr>
                <w:rFonts w:ascii="Times New Roman" w:hAnsi="Times New Roman"/>
                <w:b/>
                <w:bCs/>
                <w:color w:val="000000"/>
                <w:sz w:val="24"/>
                <w:szCs w:val="24"/>
              </w:rPr>
              <w:t>Lūdzam skaidrot, kāpēc</w:t>
            </w:r>
            <w:r w:rsidRPr="007347FF">
              <w:rPr>
                <w:rFonts w:ascii="Times New Roman" w:hAnsi="Times New Roman"/>
                <w:b/>
                <w:color w:val="000000"/>
                <w:sz w:val="24"/>
                <w:szCs w:val="24"/>
              </w:rPr>
              <w:t xml:space="preserve"> būtu jāveido vēl viens atsevišķs administratīvs posms, kas tikai nodrošinās starpnieka funkcijas un prasīs papildu administratīvos resursus. </w:t>
            </w:r>
          </w:p>
          <w:p w14:paraId="417AED62" w14:textId="77777777" w:rsidR="007B17AC" w:rsidRPr="007347FF" w:rsidRDefault="007B17AC" w:rsidP="007347FF">
            <w:pPr>
              <w:pStyle w:val="ListParagraph"/>
              <w:spacing w:after="0" w:line="240" w:lineRule="auto"/>
              <w:ind w:left="0"/>
              <w:jc w:val="both"/>
              <w:rPr>
                <w:rFonts w:ascii="Times New Roman" w:hAnsi="Times New Roman"/>
                <w:color w:val="000000"/>
                <w:sz w:val="24"/>
                <w:szCs w:val="24"/>
              </w:rPr>
            </w:pPr>
            <w:r w:rsidRPr="007347FF">
              <w:rPr>
                <w:rFonts w:ascii="Times New Roman" w:hAnsi="Times New Roman"/>
                <w:bCs/>
                <w:color w:val="000000"/>
                <w:sz w:val="24"/>
                <w:szCs w:val="24"/>
                <w:u w:val="single"/>
              </w:rPr>
              <w:t xml:space="preserve">Uzskatām, ka nebūtu atbalstāms, ka, strādājot pie katra jauna ES fondu plānošanas perioda, katru reizi tiek mainīts ES fondu ieviešanas </w:t>
            </w:r>
            <w:r w:rsidRPr="007347FF">
              <w:rPr>
                <w:rFonts w:ascii="Times New Roman" w:hAnsi="Times New Roman"/>
                <w:bCs/>
                <w:color w:val="000000"/>
                <w:sz w:val="24"/>
                <w:szCs w:val="24"/>
                <w:u w:val="single"/>
              </w:rPr>
              <w:lastRenderedPageBreak/>
              <w:t>administratīvais ietvars.</w:t>
            </w:r>
            <w:r w:rsidRPr="007347FF">
              <w:rPr>
                <w:rFonts w:ascii="Times New Roman" w:hAnsi="Times New Roman"/>
                <w:color w:val="000000"/>
                <w:sz w:val="24"/>
                <w:szCs w:val="24"/>
              </w:rPr>
              <w:t xml:space="preserve"> Š</w:t>
            </w:r>
            <w:r w:rsidRPr="007347FF">
              <w:rPr>
                <w:rFonts w:ascii="Times New Roman" w:hAnsi="Times New Roman"/>
                <w:b/>
                <w:bCs/>
                <w:color w:val="000000"/>
                <w:sz w:val="24"/>
                <w:szCs w:val="24"/>
              </w:rPr>
              <w:t>ādu modeli neatbalstām,</w:t>
            </w:r>
            <w:r w:rsidRPr="007347FF">
              <w:rPr>
                <w:rFonts w:ascii="Times New Roman" w:hAnsi="Times New Roman"/>
                <w:color w:val="000000"/>
                <w:sz w:val="24"/>
                <w:szCs w:val="24"/>
              </w:rPr>
              <w:t xml:space="preserve"> jo var būtiski aizkavēt ES fondu apguvi jaunajā plānošanas periodā, ņemot vērā to, ka nāksies šo modeli akreditēt Eiropas Komisijā.  </w:t>
            </w:r>
          </w:p>
          <w:p w14:paraId="059BB5A0" w14:textId="1030FB1E" w:rsidR="007B17AC" w:rsidRPr="007347FF" w:rsidRDefault="007B17AC" w:rsidP="007347FF">
            <w:pPr>
              <w:pStyle w:val="ListParagraph"/>
              <w:spacing w:after="0" w:line="240" w:lineRule="auto"/>
              <w:ind w:left="0"/>
              <w:jc w:val="both"/>
              <w:rPr>
                <w:rFonts w:ascii="Times New Roman" w:hAnsi="Times New Roman"/>
                <w:b/>
                <w:bCs/>
                <w:color w:val="000000"/>
                <w:sz w:val="24"/>
                <w:szCs w:val="24"/>
              </w:rPr>
            </w:pPr>
            <w:r w:rsidRPr="007347FF">
              <w:rPr>
                <w:rFonts w:ascii="Times New Roman" w:hAnsi="Times New Roman"/>
                <w:color w:val="000000"/>
                <w:sz w:val="24"/>
                <w:szCs w:val="24"/>
              </w:rPr>
              <w:t xml:space="preserve">Vienlaikus uzskatām, ka </w:t>
            </w:r>
            <w:r w:rsidRPr="007347FF">
              <w:rPr>
                <w:rFonts w:ascii="Times New Roman" w:hAnsi="Times New Roman"/>
                <w:b/>
                <w:bCs/>
                <w:color w:val="000000"/>
                <w:sz w:val="24"/>
                <w:szCs w:val="24"/>
              </w:rPr>
              <w:t xml:space="preserve">katrai pašvaldībai jāļauj pašai lemt par nepieciešamajiem ES fondu ieguldījumiem saskaņā ar tās plānošanas dokumentiem. </w:t>
            </w:r>
          </w:p>
          <w:p w14:paraId="41937B57" w14:textId="77777777" w:rsidR="007B17AC" w:rsidRPr="007347FF" w:rsidRDefault="007B17AC" w:rsidP="007347FF">
            <w:pPr>
              <w:contextualSpacing/>
              <w:jc w:val="both"/>
              <w:rPr>
                <w:rFonts w:eastAsia="Calibri"/>
              </w:rPr>
            </w:pPr>
            <w:r w:rsidRPr="007347FF">
              <w:rPr>
                <w:rFonts w:eastAsia="Calibri"/>
              </w:rPr>
              <w:t xml:space="preserve">Attiecībā uz plānošanas reģionu funkciju un kompetenču paplašināšanu, uzskatām, ka </w:t>
            </w:r>
            <w:r w:rsidRPr="007347FF">
              <w:rPr>
                <w:rFonts w:eastAsia="Calibri"/>
                <w:b/>
                <w:bCs/>
              </w:rPr>
              <w:t xml:space="preserve">sākotnēji nepieciešams veikt plānošanas reģionu darbības </w:t>
            </w:r>
            <w:proofErr w:type="spellStart"/>
            <w:r w:rsidRPr="007347FF">
              <w:rPr>
                <w:rFonts w:eastAsia="Calibri"/>
                <w:b/>
                <w:bCs/>
              </w:rPr>
              <w:t>izvertējumu</w:t>
            </w:r>
            <w:proofErr w:type="spellEnd"/>
            <w:r w:rsidRPr="007347FF">
              <w:rPr>
                <w:rFonts w:eastAsia="Calibri"/>
                <w:b/>
                <w:bCs/>
              </w:rPr>
              <w:t xml:space="preserve">, </w:t>
            </w:r>
            <w:r w:rsidRPr="007347FF">
              <w:rPr>
                <w:rFonts w:eastAsia="Calibri"/>
              </w:rPr>
              <w:t xml:space="preserve">t.sk. vērtējot arī plānošanas reģionu reālo ieguldījumu investīciju piesaistē reģioniem. Attiecīgi Informatīvā ziņojuma projektu nepieciešams papildināt ar informāciju, no kuras varētu izvērtēt plānošanas reģionu </w:t>
            </w:r>
            <w:r w:rsidRPr="007347FF">
              <w:rPr>
                <w:rFonts w:eastAsia="Calibri"/>
                <w:u w:val="single"/>
              </w:rPr>
              <w:t>līdz šim veikto darbu izpildi, to ieguldījumu un pienesumu attiecīgā plānošanas reģiona ietvertajās pašvaldībās</w:t>
            </w:r>
            <w:r w:rsidRPr="007347FF">
              <w:rPr>
                <w:rFonts w:eastAsia="Calibri"/>
              </w:rPr>
              <w:t xml:space="preserve">, kā arī ar </w:t>
            </w:r>
            <w:proofErr w:type="spellStart"/>
            <w:r w:rsidRPr="007347FF">
              <w:rPr>
                <w:rFonts w:eastAsia="Calibri"/>
              </w:rPr>
              <w:t>izvērtējumu</w:t>
            </w:r>
            <w:proofErr w:type="spellEnd"/>
            <w:r w:rsidRPr="007347FF">
              <w:rPr>
                <w:rFonts w:eastAsia="Calibri"/>
              </w:rPr>
              <w:t xml:space="preserve">, vai plānošanas reģioni ir </w:t>
            </w:r>
            <w:r w:rsidRPr="007347FF">
              <w:rPr>
                <w:rFonts w:eastAsia="Calibri"/>
                <w:u w:val="single"/>
              </w:rPr>
              <w:t>veikuši visas tiem paredzētās kompetences Reģionālās attīstības likumā, kā arī citos dokumentos</w:t>
            </w:r>
            <w:r w:rsidRPr="007347FF">
              <w:rPr>
                <w:rFonts w:eastAsia="Calibri"/>
              </w:rPr>
              <w:t xml:space="preserve">, un to izpildi (rezultātus), kā arī sniegt priekšlikumus par </w:t>
            </w:r>
            <w:r w:rsidRPr="007347FF">
              <w:rPr>
                <w:rFonts w:eastAsia="Calibri"/>
                <w:u w:val="single"/>
              </w:rPr>
              <w:t>nepieciešamajām izmaiņām esošajās kompetencēs</w:t>
            </w:r>
            <w:r w:rsidRPr="007347FF">
              <w:rPr>
                <w:rFonts w:eastAsia="Calibri"/>
              </w:rPr>
              <w:t xml:space="preserve">. </w:t>
            </w:r>
            <w:proofErr w:type="spellStart"/>
            <w:r w:rsidRPr="007347FF">
              <w:rPr>
                <w:rFonts w:eastAsia="Calibri"/>
              </w:rPr>
              <w:t>Izvērtējumus</w:t>
            </w:r>
            <w:proofErr w:type="spellEnd"/>
            <w:r w:rsidRPr="007347FF">
              <w:rPr>
                <w:rFonts w:eastAsia="Calibri"/>
              </w:rPr>
              <w:t xml:space="preserve"> nepieciešams sniegt par katra plānošanas reģiona ieguldījumu.</w:t>
            </w:r>
          </w:p>
          <w:p w14:paraId="7240954D" w14:textId="236C637A" w:rsidR="007B17AC" w:rsidRPr="007347FF" w:rsidRDefault="007B17AC" w:rsidP="007347FF">
            <w:pPr>
              <w:contextualSpacing/>
              <w:jc w:val="both"/>
              <w:rPr>
                <w:rFonts w:eastAsia="Calibri"/>
                <w:b/>
                <w:bCs/>
              </w:rPr>
            </w:pPr>
            <w:r w:rsidRPr="007347FF">
              <w:rPr>
                <w:rFonts w:eastAsia="Calibri"/>
                <w:b/>
                <w:bCs/>
              </w:rPr>
              <w:t xml:space="preserve">Tikai pēc šāda </w:t>
            </w:r>
            <w:proofErr w:type="spellStart"/>
            <w:r w:rsidRPr="007347FF">
              <w:rPr>
                <w:rFonts w:eastAsia="Calibri"/>
                <w:b/>
                <w:bCs/>
              </w:rPr>
              <w:t>izvērtējuma</w:t>
            </w:r>
            <w:proofErr w:type="spellEnd"/>
            <w:r w:rsidRPr="007347FF">
              <w:rPr>
                <w:rFonts w:eastAsia="Calibri"/>
                <w:b/>
                <w:bCs/>
              </w:rPr>
              <w:t xml:space="preserve"> veikšanas ir lietderīgi lemt par plānošanas reģionu funkciju paplašināšanu. </w:t>
            </w:r>
          </w:p>
          <w:p w14:paraId="15CC1415" w14:textId="2145FCC1" w:rsidR="00C4080C" w:rsidRPr="001A71C7" w:rsidRDefault="007B17AC" w:rsidP="001A71C7">
            <w:pPr>
              <w:pStyle w:val="naisc"/>
              <w:spacing w:before="0" w:after="0"/>
              <w:ind w:firstLine="5"/>
              <w:jc w:val="both"/>
              <w:rPr>
                <w:b/>
              </w:rPr>
            </w:pPr>
            <w:r w:rsidRPr="007347FF">
              <w:rPr>
                <w:b/>
                <w:bCs/>
                <w:color w:val="000000"/>
              </w:rPr>
              <w:lastRenderedPageBreak/>
              <w:t xml:space="preserve">Ja pēc </w:t>
            </w:r>
            <w:proofErr w:type="spellStart"/>
            <w:r w:rsidRPr="007347FF">
              <w:rPr>
                <w:b/>
                <w:bCs/>
                <w:color w:val="000000"/>
              </w:rPr>
              <w:t>izvērtējuma</w:t>
            </w:r>
            <w:proofErr w:type="spellEnd"/>
            <w:r w:rsidRPr="007347FF">
              <w:rPr>
                <w:b/>
                <w:bCs/>
                <w:color w:val="000000"/>
              </w:rPr>
              <w:t xml:space="preserve"> tiks nolemts par plānošanas reģionu funkciju paplašināšanu, tad papildus priekšlikums vērtēt arī Rīgas plānošanas reģiona lomas pieaugumu arī telpiskās plānošanas kontekstā, </w:t>
            </w:r>
            <w:r w:rsidRPr="007347FF">
              <w:rPr>
                <w:color w:val="000000"/>
              </w:rPr>
              <w:t xml:space="preserve">veidojot saskaņotus metropoles telpas attīstības plānošanas dokumentus, lai vienotos par kopīgiem sadarbības projektiem, veidotu kvalitatīvas </w:t>
            </w:r>
            <w:proofErr w:type="spellStart"/>
            <w:r w:rsidRPr="007347FF">
              <w:rPr>
                <w:color w:val="000000"/>
              </w:rPr>
              <w:t>urbānās</w:t>
            </w:r>
            <w:proofErr w:type="spellEnd"/>
            <w:r w:rsidRPr="007347FF">
              <w:rPr>
                <w:color w:val="000000"/>
              </w:rPr>
              <w:t xml:space="preserve"> telpas ap Rīgu un veicinātu to savstarpējo sasniedzamību (vienotu norēķinu, saskaņotu pārvadājumu grafiku veidošana metropoles telpā). Ja tiek izvērtēti plānošanas reģionu administratīvie iedalījumi, t.i. kādas pašvaldības būs kuros plānošanas reģionos, būtu ļoti svarīgi izvērtēt arī Rīgas metropoles areālu un tā atbilstību plānošanas reģiona administratīvajam ietvaram. Tas būtu jāskata no efektīvas pārvaldības perspektīvas, lai reģionālais līmenis pēc iespējas labāk atbilstu funkcionālajai teritorijai. Šāda pieeja arī stiprinātu Rīgas metropoles areāla vienotu attīstību.</w:t>
            </w:r>
          </w:p>
        </w:tc>
        <w:tc>
          <w:tcPr>
            <w:tcW w:w="2551" w:type="dxa"/>
            <w:gridSpan w:val="2"/>
          </w:tcPr>
          <w:p w14:paraId="512B232C" w14:textId="710C2955" w:rsidR="00C4080C" w:rsidRPr="006E7B3F" w:rsidRDefault="00C4080C" w:rsidP="007347FF">
            <w:pPr>
              <w:pStyle w:val="naisc"/>
              <w:spacing w:before="0" w:after="0"/>
              <w:jc w:val="both"/>
              <w:rPr>
                <w:sz w:val="22"/>
                <w:szCs w:val="22"/>
              </w:rPr>
            </w:pPr>
            <w:r w:rsidRPr="006E7B3F">
              <w:rPr>
                <w:b/>
                <w:sz w:val="22"/>
                <w:szCs w:val="22"/>
              </w:rPr>
              <w:lastRenderedPageBreak/>
              <w:t>Ņemts vērā</w:t>
            </w:r>
          </w:p>
        </w:tc>
        <w:tc>
          <w:tcPr>
            <w:tcW w:w="3650" w:type="dxa"/>
          </w:tcPr>
          <w:p w14:paraId="43244421" w14:textId="6ECAD4E3" w:rsidR="002838E1" w:rsidRDefault="002838E1" w:rsidP="002838E1">
            <w:pPr>
              <w:jc w:val="both"/>
              <w:rPr>
                <w:sz w:val="22"/>
                <w:szCs w:val="22"/>
              </w:rPr>
            </w:pPr>
            <w:r>
              <w:rPr>
                <w:sz w:val="22"/>
                <w:szCs w:val="22"/>
              </w:rPr>
              <w:t>Nozīmīgākie plānošanas reģionu ieviestie projekti un to rezultāti tiks atspoguļoti konceptuālajā  ziņojumā</w:t>
            </w:r>
            <w:r w:rsidRPr="006E7B3F">
              <w:rPr>
                <w:sz w:val="22"/>
                <w:szCs w:val="22"/>
              </w:rPr>
              <w:t xml:space="preserve">  par  plānošanas reģionu darbības (reģionālā pārvaldes līmeņa) uzlabošanu un kopējas statistiski teritoriālo vienību klasifikācijas (NUTS) izmaiņām, tiks padziļināti izvērtēta arī PR darbība pa to darbības jomām.</w:t>
            </w:r>
          </w:p>
          <w:p w14:paraId="0374A430" w14:textId="066463A7" w:rsidR="00B134C4" w:rsidRDefault="002838E1" w:rsidP="002838E1">
            <w:pPr>
              <w:jc w:val="both"/>
              <w:rPr>
                <w:sz w:val="22"/>
                <w:szCs w:val="22"/>
              </w:rPr>
            </w:pPr>
            <w:r>
              <w:rPr>
                <w:sz w:val="22"/>
                <w:szCs w:val="22"/>
              </w:rPr>
              <w:t>Līdz ar plānošanas reģionu darbības pilnveidošanu, nav plānots mainīt ES fondu ieviešanas un uzraudzības sistēmu</w:t>
            </w:r>
            <w:r w:rsidR="00B134C4">
              <w:rPr>
                <w:sz w:val="22"/>
                <w:szCs w:val="22"/>
              </w:rPr>
              <w:t>, kā arī pašvaldības kompetenci attiecībā uz ES fondu līdzfinansēto projektu izvirzīšanu konkrētās pašvaldības administratīvajā teritorijā</w:t>
            </w:r>
            <w:r>
              <w:rPr>
                <w:sz w:val="22"/>
                <w:szCs w:val="22"/>
              </w:rPr>
              <w:t>.</w:t>
            </w:r>
            <w:r w:rsidR="00B134C4">
              <w:rPr>
                <w:sz w:val="22"/>
                <w:szCs w:val="22"/>
              </w:rPr>
              <w:t xml:space="preserve"> </w:t>
            </w:r>
          </w:p>
          <w:p w14:paraId="26A49FAF" w14:textId="444C0EA2" w:rsidR="00610FCB" w:rsidRDefault="00610FCB" w:rsidP="00610FCB">
            <w:pPr>
              <w:tabs>
                <w:tab w:val="left" w:pos="6840"/>
              </w:tabs>
              <w:jc w:val="both"/>
              <w:rPr>
                <w:color w:val="000000"/>
                <w:sz w:val="22"/>
                <w:szCs w:val="22"/>
              </w:rPr>
            </w:pPr>
            <w:r w:rsidRPr="006E7B3F">
              <w:rPr>
                <w:color w:val="000000"/>
                <w:sz w:val="22"/>
                <w:szCs w:val="22"/>
              </w:rPr>
              <w:t>Padziļināta analīze un argumenti par otrā līmeņa pašvaldību un plānošanas reģionu pozitīvajām un negatīvajām iezīmēm tiks veikta</w:t>
            </w:r>
            <w:r>
              <w:rPr>
                <w:color w:val="000000"/>
                <w:sz w:val="22"/>
                <w:szCs w:val="22"/>
              </w:rPr>
              <w:t>,</w:t>
            </w:r>
            <w:r w:rsidRPr="006E7B3F">
              <w:rPr>
                <w:color w:val="000000"/>
                <w:sz w:val="22"/>
                <w:szCs w:val="22"/>
              </w:rPr>
              <w:t xml:space="preserve"> </w:t>
            </w:r>
            <w:r w:rsidRPr="006E7B3F">
              <w:rPr>
                <w:sz w:val="22"/>
                <w:szCs w:val="22"/>
              </w:rPr>
              <w:t xml:space="preserve">gatavojot konceptuālo  ziņojumu  par  plānošanas reģionu darbības (reģionālā pārvaldes līmeņa) uzlabošanu un kopējas statistiski teritoriālo vienību klasifikācijas (NUTS) izmaiņām, </w:t>
            </w:r>
            <w:r>
              <w:rPr>
                <w:sz w:val="22"/>
                <w:szCs w:val="22"/>
              </w:rPr>
              <w:t xml:space="preserve">t.sk. </w:t>
            </w:r>
            <w:r w:rsidRPr="006E7B3F">
              <w:rPr>
                <w:sz w:val="22"/>
                <w:szCs w:val="22"/>
              </w:rPr>
              <w:t>tiks padziļināti izvērtēta arī PR darbība pa jomām.</w:t>
            </w:r>
            <w:r w:rsidRPr="006E7B3F">
              <w:rPr>
                <w:color w:val="000000"/>
                <w:sz w:val="22"/>
                <w:szCs w:val="22"/>
              </w:rPr>
              <w:t xml:space="preserve"> </w:t>
            </w:r>
          </w:p>
          <w:p w14:paraId="788CF27C" w14:textId="631D0BF0" w:rsidR="001A71C7" w:rsidRDefault="001A71C7" w:rsidP="00610FCB">
            <w:pPr>
              <w:tabs>
                <w:tab w:val="left" w:pos="6840"/>
              </w:tabs>
              <w:jc w:val="both"/>
              <w:rPr>
                <w:color w:val="000000"/>
                <w:sz w:val="22"/>
                <w:szCs w:val="22"/>
              </w:rPr>
            </w:pPr>
            <w:r>
              <w:rPr>
                <w:color w:val="000000"/>
                <w:sz w:val="22"/>
                <w:szCs w:val="22"/>
              </w:rPr>
              <w:t xml:space="preserve">Reģionālās politikas pamatnostādņu 2021.-2027.gadam projekts paredz </w:t>
            </w:r>
            <w:r w:rsidRPr="001A71C7">
              <w:rPr>
                <w:color w:val="000000"/>
                <w:sz w:val="22"/>
                <w:szCs w:val="22"/>
              </w:rPr>
              <w:t>Rīgas plānošanas reģiona lomas pieaugumu arī telpiskās plānošanas kontekstā</w:t>
            </w:r>
            <w:r>
              <w:rPr>
                <w:color w:val="000000"/>
                <w:sz w:val="22"/>
                <w:szCs w:val="22"/>
              </w:rPr>
              <w:t>.</w:t>
            </w:r>
          </w:p>
          <w:p w14:paraId="49B45819" w14:textId="77777777" w:rsidR="00610FCB" w:rsidRDefault="00610FCB" w:rsidP="002838E1">
            <w:pPr>
              <w:jc w:val="both"/>
              <w:rPr>
                <w:sz w:val="22"/>
                <w:szCs w:val="22"/>
              </w:rPr>
            </w:pPr>
          </w:p>
          <w:p w14:paraId="7EF13C00" w14:textId="123715C2" w:rsidR="00C4080C" w:rsidRPr="006E7B3F" w:rsidRDefault="00C4080C" w:rsidP="007347FF">
            <w:pPr>
              <w:tabs>
                <w:tab w:val="left" w:pos="6840"/>
              </w:tabs>
              <w:jc w:val="both"/>
              <w:rPr>
                <w:sz w:val="22"/>
                <w:szCs w:val="22"/>
              </w:rPr>
            </w:pPr>
          </w:p>
        </w:tc>
      </w:tr>
      <w:tr w:rsidR="007B17AC" w:rsidRPr="006E7B3F" w14:paraId="160F8EA0" w14:textId="77777777" w:rsidTr="00ED12D2">
        <w:tc>
          <w:tcPr>
            <w:tcW w:w="985" w:type="dxa"/>
          </w:tcPr>
          <w:p w14:paraId="3ABA2226" w14:textId="77777777" w:rsidR="007B17AC" w:rsidRPr="006E7B3F" w:rsidRDefault="007B17AC" w:rsidP="00BD6681">
            <w:pPr>
              <w:pStyle w:val="naisc"/>
              <w:numPr>
                <w:ilvl w:val="0"/>
                <w:numId w:val="1"/>
              </w:numPr>
              <w:spacing w:before="0" w:after="0"/>
              <w:jc w:val="both"/>
              <w:rPr>
                <w:sz w:val="22"/>
                <w:szCs w:val="22"/>
              </w:rPr>
            </w:pPr>
          </w:p>
        </w:tc>
        <w:tc>
          <w:tcPr>
            <w:tcW w:w="3263" w:type="dxa"/>
            <w:gridSpan w:val="2"/>
          </w:tcPr>
          <w:p w14:paraId="11BCDFCD" w14:textId="48DE579A" w:rsidR="007B17AC" w:rsidRDefault="007B17AC" w:rsidP="00BD6681">
            <w:pPr>
              <w:jc w:val="both"/>
              <w:rPr>
                <w:b/>
                <w:sz w:val="22"/>
                <w:szCs w:val="22"/>
              </w:rPr>
            </w:pPr>
            <w:r>
              <w:rPr>
                <w:b/>
                <w:sz w:val="22"/>
                <w:szCs w:val="22"/>
              </w:rPr>
              <w:t>Vispārīgs iebildums</w:t>
            </w:r>
          </w:p>
        </w:tc>
        <w:tc>
          <w:tcPr>
            <w:tcW w:w="4536" w:type="dxa"/>
          </w:tcPr>
          <w:p w14:paraId="6DDF580E" w14:textId="7A063F03" w:rsidR="007B17AC" w:rsidRPr="007347FF" w:rsidRDefault="007B17AC" w:rsidP="007347FF">
            <w:pPr>
              <w:pStyle w:val="naisc"/>
              <w:spacing w:before="0" w:after="0"/>
              <w:ind w:firstLine="5"/>
              <w:jc w:val="both"/>
              <w:rPr>
                <w:b/>
              </w:rPr>
            </w:pPr>
            <w:r w:rsidRPr="007347FF">
              <w:rPr>
                <w:b/>
              </w:rPr>
              <w:t xml:space="preserve">Latvijas Lielo pilsētu asociācijas 2019. gada 6.novembra atzinums, 2. iebildums. </w:t>
            </w:r>
          </w:p>
          <w:p w14:paraId="68BF771E" w14:textId="78971095" w:rsidR="007B17AC" w:rsidRPr="007347FF" w:rsidRDefault="007B17AC" w:rsidP="007347FF">
            <w:pPr>
              <w:pStyle w:val="ListParagraph"/>
              <w:spacing w:after="0" w:line="240" w:lineRule="auto"/>
              <w:ind w:left="0"/>
              <w:jc w:val="both"/>
              <w:rPr>
                <w:rFonts w:ascii="Times New Roman" w:hAnsi="Times New Roman"/>
                <w:color w:val="000000"/>
                <w:sz w:val="24"/>
                <w:szCs w:val="24"/>
              </w:rPr>
            </w:pPr>
            <w:r w:rsidRPr="007347FF">
              <w:rPr>
                <w:rFonts w:ascii="Times New Roman" w:hAnsi="Times New Roman"/>
                <w:color w:val="000000"/>
                <w:sz w:val="24"/>
                <w:szCs w:val="24"/>
              </w:rPr>
              <w:t>Vispārīgs komentārs:</w:t>
            </w:r>
          </w:p>
          <w:p w14:paraId="14499C6F" w14:textId="77777777" w:rsidR="007B17AC" w:rsidRPr="007347FF" w:rsidRDefault="007B17AC" w:rsidP="007347FF">
            <w:pPr>
              <w:pStyle w:val="ListParagraph"/>
              <w:spacing w:after="0" w:line="240" w:lineRule="auto"/>
              <w:ind w:left="0"/>
              <w:jc w:val="both"/>
              <w:rPr>
                <w:rFonts w:ascii="Times New Roman" w:hAnsi="Times New Roman"/>
                <w:color w:val="000000"/>
                <w:sz w:val="24"/>
                <w:szCs w:val="24"/>
              </w:rPr>
            </w:pPr>
            <w:r w:rsidRPr="007347FF">
              <w:rPr>
                <w:rFonts w:ascii="Times New Roman" w:hAnsi="Times New Roman"/>
                <w:color w:val="000000"/>
                <w:sz w:val="24"/>
                <w:szCs w:val="24"/>
              </w:rPr>
              <w:t xml:space="preserve">Sakarā ar Vides aizsardzības un reģionālās attīstības ministrijas (turpmāk – VARAM) realizēto pašvaldību reģionālo reformu, Latvijas Lielo pilsētu asociācija ir vērsusi uzmanību uz </w:t>
            </w:r>
            <w:r w:rsidRPr="007347FF">
              <w:rPr>
                <w:rFonts w:ascii="Times New Roman" w:hAnsi="Times New Roman"/>
                <w:color w:val="000000"/>
                <w:sz w:val="24"/>
                <w:szCs w:val="24"/>
                <w:u w:val="single"/>
              </w:rPr>
              <w:t xml:space="preserve">normatīvo aktu projektu, kas </w:t>
            </w:r>
            <w:r w:rsidRPr="007347FF">
              <w:rPr>
                <w:rFonts w:ascii="Times New Roman" w:hAnsi="Times New Roman"/>
                <w:color w:val="000000"/>
                <w:sz w:val="24"/>
                <w:szCs w:val="24"/>
                <w:u w:val="single"/>
              </w:rPr>
              <w:lastRenderedPageBreak/>
              <w:t>regulēs pašvaldību darbību pēc pašvaldību reģionālās reformas, neesamību</w:t>
            </w:r>
            <w:r w:rsidRPr="007347FF">
              <w:rPr>
                <w:rFonts w:ascii="Times New Roman" w:hAnsi="Times New Roman"/>
                <w:color w:val="000000"/>
                <w:sz w:val="24"/>
                <w:szCs w:val="24"/>
              </w:rPr>
              <w:t xml:space="preserve">. Izejot no kā, </w:t>
            </w:r>
            <w:r w:rsidRPr="007347FF">
              <w:rPr>
                <w:rFonts w:ascii="Times New Roman" w:hAnsi="Times New Roman"/>
                <w:color w:val="000000"/>
                <w:sz w:val="24"/>
                <w:szCs w:val="24"/>
                <w:u w:val="single"/>
              </w:rPr>
              <w:t>grūti ir paredzēt pašvaldību funkcijas, kompetences, tiesības un pienākumus pēc reģionālās reformas.</w:t>
            </w:r>
          </w:p>
          <w:p w14:paraId="15E286B4" w14:textId="724629FA" w:rsidR="007B17AC" w:rsidRPr="007347FF" w:rsidRDefault="007B17AC" w:rsidP="00A97D80">
            <w:pPr>
              <w:pStyle w:val="naisc"/>
              <w:spacing w:before="0" w:after="0"/>
              <w:ind w:firstLine="5"/>
              <w:jc w:val="both"/>
              <w:rPr>
                <w:b/>
              </w:rPr>
            </w:pPr>
            <w:r w:rsidRPr="007347FF">
              <w:rPr>
                <w:color w:val="000000"/>
              </w:rPr>
              <w:t xml:space="preserve">Informatīvā ziņojuma projektā piedāvātā plānošanas reģionu reorganizācijas gadījumā, ņemot vērā, ka nav pieejami normatīvo aktu projekti, kuros būtu redzamas plānošanas reģionu funkcijas, kompetence, tiesības un pienākumi pēc reorganizācijas, nedz arī to, ka pašā Informatīvā ziņojuma projektā nav sniegta informācija par plānošanas reģionu turpmāko kompetenci, </w:t>
            </w:r>
            <w:r w:rsidRPr="007347FF">
              <w:rPr>
                <w:b/>
                <w:bCs/>
                <w:color w:val="000000"/>
              </w:rPr>
              <w:t>nav saprotams, kādas funkcijas, kompetences, tiesības un pienākumus ir plānots noteikt plānošanas reģioniem.</w:t>
            </w:r>
          </w:p>
        </w:tc>
        <w:tc>
          <w:tcPr>
            <w:tcW w:w="2551" w:type="dxa"/>
            <w:gridSpan w:val="2"/>
          </w:tcPr>
          <w:p w14:paraId="2E5668F4" w14:textId="4F9B8C45" w:rsidR="007B17AC" w:rsidRPr="006E7B3F" w:rsidRDefault="00087222" w:rsidP="007347FF">
            <w:pPr>
              <w:pStyle w:val="naisc"/>
              <w:spacing w:before="0" w:after="0"/>
              <w:jc w:val="both"/>
              <w:rPr>
                <w:b/>
                <w:sz w:val="22"/>
                <w:szCs w:val="22"/>
              </w:rPr>
            </w:pPr>
            <w:r w:rsidRPr="006E7B3F">
              <w:rPr>
                <w:b/>
                <w:sz w:val="22"/>
                <w:szCs w:val="22"/>
              </w:rPr>
              <w:lastRenderedPageBreak/>
              <w:t>Ņemts vērā</w:t>
            </w:r>
          </w:p>
        </w:tc>
        <w:tc>
          <w:tcPr>
            <w:tcW w:w="3650" w:type="dxa"/>
          </w:tcPr>
          <w:p w14:paraId="44053002" w14:textId="0B332E79" w:rsidR="007B17AC" w:rsidRPr="006E7B3F" w:rsidRDefault="00370BA7" w:rsidP="007347FF">
            <w:pPr>
              <w:tabs>
                <w:tab w:val="left" w:pos="6840"/>
              </w:tabs>
              <w:jc w:val="both"/>
              <w:rPr>
                <w:sz w:val="22"/>
                <w:szCs w:val="22"/>
              </w:rPr>
            </w:pPr>
            <w:r>
              <w:rPr>
                <w:sz w:val="22"/>
                <w:szCs w:val="22"/>
              </w:rPr>
              <w:t>Skaidrojam, ka plānošanas reģioniem nododamās funkcijas tiks noteiktas pēc nozaru ministriju iesniegto priekšlikumu izvērtēšanas, kā arī veicot konsultācija</w:t>
            </w:r>
            <w:r w:rsidR="00F36C98">
              <w:rPr>
                <w:sz w:val="22"/>
                <w:szCs w:val="22"/>
              </w:rPr>
              <w:t>s</w:t>
            </w:r>
            <w:r>
              <w:rPr>
                <w:sz w:val="22"/>
                <w:szCs w:val="22"/>
              </w:rPr>
              <w:t xml:space="preserve"> ar pašvaldību pārstāvošajām organizācijām. </w:t>
            </w:r>
          </w:p>
        </w:tc>
      </w:tr>
      <w:tr w:rsidR="007B17AC" w:rsidRPr="006E7B3F" w14:paraId="5D37A12A" w14:textId="77777777" w:rsidTr="00ED12D2">
        <w:tc>
          <w:tcPr>
            <w:tcW w:w="985" w:type="dxa"/>
          </w:tcPr>
          <w:p w14:paraId="0EC546D7" w14:textId="77777777" w:rsidR="007B17AC" w:rsidRPr="006E7B3F" w:rsidRDefault="007B17AC" w:rsidP="00BD6681">
            <w:pPr>
              <w:pStyle w:val="naisc"/>
              <w:numPr>
                <w:ilvl w:val="0"/>
                <w:numId w:val="1"/>
              </w:numPr>
              <w:spacing w:before="0" w:after="0"/>
              <w:jc w:val="both"/>
              <w:rPr>
                <w:sz w:val="22"/>
                <w:szCs w:val="22"/>
              </w:rPr>
            </w:pPr>
          </w:p>
        </w:tc>
        <w:tc>
          <w:tcPr>
            <w:tcW w:w="3263" w:type="dxa"/>
            <w:gridSpan w:val="2"/>
          </w:tcPr>
          <w:p w14:paraId="413B571C" w14:textId="77777777" w:rsidR="007B17AC" w:rsidRDefault="007B17AC" w:rsidP="00BD6681">
            <w:pPr>
              <w:jc w:val="both"/>
              <w:rPr>
                <w:b/>
                <w:sz w:val="22"/>
                <w:szCs w:val="22"/>
              </w:rPr>
            </w:pPr>
          </w:p>
        </w:tc>
        <w:tc>
          <w:tcPr>
            <w:tcW w:w="4536" w:type="dxa"/>
          </w:tcPr>
          <w:p w14:paraId="7EEE372A" w14:textId="5C1B2EE4" w:rsidR="007B17AC" w:rsidRPr="007347FF" w:rsidRDefault="007B17AC" w:rsidP="007347FF">
            <w:pPr>
              <w:pStyle w:val="naisc"/>
              <w:spacing w:before="0" w:after="0"/>
              <w:ind w:firstLine="5"/>
              <w:jc w:val="both"/>
              <w:rPr>
                <w:b/>
              </w:rPr>
            </w:pPr>
            <w:r w:rsidRPr="007347FF">
              <w:rPr>
                <w:b/>
              </w:rPr>
              <w:t xml:space="preserve">Latvijas Lielo pilsētu asociācijas 2019. gada 6.novembra atzinums, 3. iebildums. </w:t>
            </w:r>
          </w:p>
          <w:p w14:paraId="5B2298F7" w14:textId="77777777" w:rsidR="007B17AC" w:rsidRPr="007347FF" w:rsidRDefault="007B17AC" w:rsidP="007347FF">
            <w:pPr>
              <w:pStyle w:val="ListParagraph"/>
              <w:spacing w:after="0" w:line="240" w:lineRule="auto"/>
              <w:ind w:left="0"/>
              <w:jc w:val="both"/>
              <w:rPr>
                <w:rFonts w:ascii="Times New Roman" w:hAnsi="Times New Roman"/>
                <w:sz w:val="24"/>
                <w:szCs w:val="24"/>
              </w:rPr>
            </w:pPr>
            <w:r w:rsidRPr="007347FF">
              <w:rPr>
                <w:rFonts w:ascii="Times New Roman" w:hAnsi="Times New Roman"/>
                <w:color w:val="000000"/>
                <w:sz w:val="24"/>
                <w:szCs w:val="24"/>
              </w:rPr>
              <w:t xml:space="preserve">Valdības rīcības plāns Deklarācijas par Artura Krišjāņa Kariņa vadītā Ministru kabineta iecerēto darbību īstenošanai (apstiprināts ar </w:t>
            </w:r>
            <w:r w:rsidRPr="007347FF">
              <w:rPr>
                <w:rFonts w:ascii="Times New Roman" w:hAnsi="Times New Roman"/>
                <w:sz w:val="24"/>
                <w:szCs w:val="24"/>
              </w:rPr>
              <w:t xml:space="preserve">Ministru kabineta 2019. gada 7. maija rīkojumu Nr. 210) nosaka, ka Deklarācijas par Artura Krišjāņa Kariņa vadītā Ministru kabineta iecerēto darbību Valdības rīcības plāna 225.1. pasākuma sasniedzamais darbības rezultāts ir konceptuālā ziņojuma projekts par otrā līmeņa pašvaldību ieviešanas nepieciešamību, kas jāiesniedz Ministru </w:t>
            </w:r>
            <w:r w:rsidRPr="007347FF">
              <w:rPr>
                <w:rFonts w:ascii="Times New Roman" w:hAnsi="Times New Roman"/>
                <w:sz w:val="24"/>
                <w:szCs w:val="24"/>
              </w:rPr>
              <w:lastRenderedPageBreak/>
              <w:t>kabinetā izskatīšanai un lēmuma pieņemšanai līdz 2020. gada 31. oktobrim.</w:t>
            </w:r>
          </w:p>
          <w:p w14:paraId="59532AFF" w14:textId="77777777" w:rsidR="007B17AC" w:rsidRPr="007347FF" w:rsidRDefault="007B17AC" w:rsidP="007347FF">
            <w:pPr>
              <w:pStyle w:val="ListParagraph"/>
              <w:spacing w:after="0" w:line="240" w:lineRule="auto"/>
              <w:ind w:left="0"/>
              <w:jc w:val="both"/>
              <w:rPr>
                <w:rFonts w:ascii="Times New Roman" w:hAnsi="Times New Roman"/>
                <w:color w:val="000000"/>
                <w:sz w:val="24"/>
                <w:szCs w:val="24"/>
              </w:rPr>
            </w:pPr>
            <w:r w:rsidRPr="007347FF">
              <w:rPr>
                <w:rFonts w:ascii="Times New Roman" w:hAnsi="Times New Roman"/>
                <w:color w:val="000000"/>
                <w:sz w:val="24"/>
                <w:szCs w:val="24"/>
              </w:rPr>
              <w:t>Ministru kabineta 2009. gada 7. aprīļa noteikumu Nr. 300 “Ministru kabineta kārtības rullis” 59. punkts nosaka, ka informatīvajā ziņojumā neietver konceptuālus lēmumus. Savukārt, Ministru kabineta 2014. gada 2. decembra noteikumu Nr. 737 “Attīstības plānošanas dokumentu izstrādes un ietekmes izvērtēšanas noteikumi” 28. punkts nosaka konceptuālā ziņojumā iekļaujamo saturu:</w:t>
            </w:r>
          </w:p>
          <w:p w14:paraId="66A56EB9" w14:textId="77777777" w:rsidR="007B17AC" w:rsidRPr="007347FF" w:rsidRDefault="007B17AC" w:rsidP="007347FF">
            <w:pPr>
              <w:pStyle w:val="ListParagraph"/>
              <w:spacing w:after="0" w:line="240" w:lineRule="auto"/>
              <w:ind w:left="0"/>
              <w:jc w:val="both"/>
              <w:rPr>
                <w:rFonts w:ascii="Times New Roman" w:hAnsi="Times New Roman"/>
                <w:i/>
                <w:color w:val="000000"/>
                <w:sz w:val="24"/>
                <w:szCs w:val="24"/>
              </w:rPr>
            </w:pPr>
            <w:r w:rsidRPr="007347FF">
              <w:rPr>
                <w:rFonts w:ascii="Times New Roman" w:hAnsi="Times New Roman"/>
                <w:i/>
                <w:color w:val="000000"/>
                <w:sz w:val="24"/>
                <w:szCs w:val="24"/>
              </w:rPr>
              <w:t>28.1. konceptuāla ziņojuma satura kopsavilkumu;</w:t>
            </w:r>
          </w:p>
          <w:p w14:paraId="7395933C" w14:textId="77777777" w:rsidR="007B17AC" w:rsidRPr="007347FF" w:rsidRDefault="007B17AC" w:rsidP="007347FF">
            <w:pPr>
              <w:pStyle w:val="ListParagraph"/>
              <w:spacing w:after="0" w:line="240" w:lineRule="auto"/>
              <w:ind w:left="0"/>
              <w:jc w:val="both"/>
              <w:rPr>
                <w:rFonts w:ascii="Times New Roman" w:hAnsi="Times New Roman"/>
                <w:i/>
                <w:color w:val="000000"/>
                <w:sz w:val="24"/>
                <w:szCs w:val="24"/>
              </w:rPr>
            </w:pPr>
            <w:r w:rsidRPr="007347FF">
              <w:rPr>
                <w:rFonts w:ascii="Times New Roman" w:hAnsi="Times New Roman"/>
                <w:i/>
                <w:color w:val="000000"/>
                <w:sz w:val="24"/>
                <w:szCs w:val="24"/>
              </w:rPr>
              <w:t xml:space="preserve">28.2. īsu problēmas vai situācijas izklāstu, norādot iespējamos riskus, ja esošā situācija netiek mainīta, un risku izvērtēšanas metodoloģiju, ar kuru saskaņā veikts risku </w:t>
            </w:r>
            <w:proofErr w:type="spellStart"/>
            <w:r w:rsidRPr="007347FF">
              <w:rPr>
                <w:rFonts w:ascii="Times New Roman" w:hAnsi="Times New Roman"/>
                <w:i/>
                <w:color w:val="000000"/>
                <w:sz w:val="24"/>
                <w:szCs w:val="24"/>
              </w:rPr>
              <w:t>izvērtējums</w:t>
            </w:r>
            <w:proofErr w:type="spellEnd"/>
            <w:r w:rsidRPr="007347FF">
              <w:rPr>
                <w:rFonts w:ascii="Times New Roman" w:hAnsi="Times New Roman"/>
                <w:i/>
                <w:color w:val="000000"/>
                <w:sz w:val="24"/>
                <w:szCs w:val="24"/>
              </w:rPr>
              <w:t>;</w:t>
            </w:r>
          </w:p>
          <w:p w14:paraId="4C3E5171" w14:textId="77777777" w:rsidR="007B17AC" w:rsidRPr="007347FF" w:rsidRDefault="007B17AC" w:rsidP="007347FF">
            <w:pPr>
              <w:pStyle w:val="ListParagraph"/>
              <w:spacing w:after="0" w:line="240" w:lineRule="auto"/>
              <w:ind w:left="0"/>
              <w:jc w:val="both"/>
              <w:rPr>
                <w:rFonts w:ascii="Times New Roman" w:hAnsi="Times New Roman"/>
                <w:i/>
                <w:color w:val="000000"/>
                <w:sz w:val="24"/>
                <w:szCs w:val="24"/>
              </w:rPr>
            </w:pPr>
            <w:r w:rsidRPr="007347FF">
              <w:rPr>
                <w:rFonts w:ascii="Times New Roman" w:hAnsi="Times New Roman"/>
                <w:i/>
                <w:color w:val="000000"/>
                <w:sz w:val="24"/>
                <w:szCs w:val="24"/>
              </w:rPr>
              <w:t>28.3. piedāvāto risinājumu vai risinājuma variantus;</w:t>
            </w:r>
          </w:p>
          <w:p w14:paraId="0DC74494" w14:textId="77777777" w:rsidR="007B17AC" w:rsidRPr="007347FF" w:rsidRDefault="007B17AC" w:rsidP="007347FF">
            <w:pPr>
              <w:pStyle w:val="ListParagraph"/>
              <w:spacing w:after="0" w:line="240" w:lineRule="auto"/>
              <w:ind w:left="0"/>
              <w:jc w:val="both"/>
              <w:rPr>
                <w:rFonts w:ascii="Times New Roman" w:hAnsi="Times New Roman"/>
                <w:i/>
                <w:color w:val="000000"/>
                <w:sz w:val="24"/>
                <w:szCs w:val="24"/>
              </w:rPr>
            </w:pPr>
            <w:r w:rsidRPr="007347FF">
              <w:rPr>
                <w:rFonts w:ascii="Times New Roman" w:hAnsi="Times New Roman"/>
                <w:i/>
                <w:color w:val="000000"/>
                <w:sz w:val="24"/>
                <w:szCs w:val="24"/>
              </w:rPr>
              <w:t xml:space="preserve">28.4. katra risinājuma sākotnējo ietekmes </w:t>
            </w:r>
            <w:proofErr w:type="spellStart"/>
            <w:r w:rsidRPr="007347FF">
              <w:rPr>
                <w:rFonts w:ascii="Times New Roman" w:hAnsi="Times New Roman"/>
                <w:i/>
                <w:color w:val="000000"/>
                <w:sz w:val="24"/>
                <w:szCs w:val="24"/>
              </w:rPr>
              <w:t>izvērtējumu</w:t>
            </w:r>
            <w:proofErr w:type="spellEnd"/>
            <w:r w:rsidRPr="007347FF">
              <w:rPr>
                <w:rFonts w:ascii="Times New Roman" w:hAnsi="Times New Roman"/>
                <w:i/>
                <w:color w:val="000000"/>
                <w:sz w:val="24"/>
                <w:szCs w:val="24"/>
              </w:rPr>
              <w:t>, tajā skaitā arī iespējamo risinājumu netiešo ietekmi;</w:t>
            </w:r>
          </w:p>
          <w:p w14:paraId="510C4375" w14:textId="284AEE2A" w:rsidR="007B17AC" w:rsidRPr="007347FF" w:rsidRDefault="007B17AC" w:rsidP="007347FF">
            <w:pPr>
              <w:pStyle w:val="ListParagraph"/>
              <w:spacing w:after="0" w:line="240" w:lineRule="auto"/>
              <w:ind w:left="0"/>
              <w:jc w:val="both"/>
              <w:rPr>
                <w:rFonts w:ascii="Times New Roman" w:hAnsi="Times New Roman"/>
                <w:i/>
                <w:color w:val="000000"/>
                <w:sz w:val="24"/>
                <w:szCs w:val="24"/>
              </w:rPr>
            </w:pPr>
            <w:r w:rsidRPr="007347FF">
              <w:rPr>
                <w:rFonts w:ascii="Times New Roman" w:hAnsi="Times New Roman"/>
                <w:i/>
                <w:color w:val="000000"/>
                <w:sz w:val="24"/>
                <w:szCs w:val="24"/>
              </w:rPr>
              <w:t>28.5. katra risinājuma ietekmi uz valsts un pašvaldību budžetiem, norādot pieejamo un papildus nepieciešamo finansējumu, kā arī ietverot iespējamo līdzekļu ietaupījumu.</w:t>
            </w:r>
          </w:p>
          <w:p w14:paraId="1C899F12" w14:textId="08C54B3E" w:rsidR="007B17AC" w:rsidRPr="007347FF" w:rsidRDefault="007B17AC" w:rsidP="00A97D80">
            <w:pPr>
              <w:pStyle w:val="naisc"/>
              <w:spacing w:before="0" w:after="0"/>
              <w:ind w:firstLine="5"/>
              <w:jc w:val="both"/>
              <w:rPr>
                <w:b/>
              </w:rPr>
            </w:pPr>
            <w:r w:rsidRPr="007347FF">
              <w:rPr>
                <w:bCs/>
                <w:color w:val="000000"/>
              </w:rPr>
              <w:t xml:space="preserve">LLPA ieskatā </w:t>
            </w:r>
            <w:r w:rsidRPr="007347FF">
              <w:rPr>
                <w:color w:val="000000"/>
              </w:rPr>
              <w:t xml:space="preserve">sagatavotajā Informatīvā ziņojuma projektā </w:t>
            </w:r>
            <w:r w:rsidRPr="007347FF">
              <w:rPr>
                <w:b/>
                <w:bCs/>
                <w:color w:val="000000"/>
              </w:rPr>
              <w:t xml:space="preserve">nav izvērtēti piedāvātie varianti attiecībā uz </w:t>
            </w:r>
            <w:proofErr w:type="spellStart"/>
            <w:r w:rsidRPr="007347FF">
              <w:rPr>
                <w:b/>
                <w:bCs/>
                <w:color w:val="000000"/>
              </w:rPr>
              <w:t>apriņķu</w:t>
            </w:r>
            <w:proofErr w:type="spellEnd"/>
            <w:r w:rsidRPr="007347FF">
              <w:rPr>
                <w:b/>
                <w:bCs/>
                <w:color w:val="000000"/>
              </w:rPr>
              <w:t xml:space="preserve"> pašvaldību </w:t>
            </w:r>
            <w:r w:rsidRPr="007347FF">
              <w:rPr>
                <w:b/>
                <w:bCs/>
                <w:color w:val="000000"/>
              </w:rPr>
              <w:lastRenderedPageBreak/>
              <w:t>veidošanu un plānošanas reģionu darbības stiprināšanu</w:t>
            </w:r>
            <w:r w:rsidRPr="007347FF">
              <w:rPr>
                <w:color w:val="000000"/>
              </w:rPr>
              <w:t>.</w:t>
            </w:r>
          </w:p>
        </w:tc>
        <w:tc>
          <w:tcPr>
            <w:tcW w:w="2551" w:type="dxa"/>
            <w:gridSpan w:val="2"/>
          </w:tcPr>
          <w:p w14:paraId="66A83D78" w14:textId="1D610CE8" w:rsidR="007B17AC" w:rsidRPr="006E7B3F" w:rsidRDefault="00087222" w:rsidP="007347FF">
            <w:pPr>
              <w:pStyle w:val="naisc"/>
              <w:spacing w:before="0" w:after="0"/>
              <w:jc w:val="both"/>
              <w:rPr>
                <w:b/>
                <w:sz w:val="22"/>
                <w:szCs w:val="22"/>
              </w:rPr>
            </w:pPr>
            <w:r w:rsidRPr="006E7B3F">
              <w:rPr>
                <w:b/>
                <w:sz w:val="22"/>
                <w:szCs w:val="22"/>
              </w:rPr>
              <w:lastRenderedPageBreak/>
              <w:t>Ņemts vērā</w:t>
            </w:r>
          </w:p>
        </w:tc>
        <w:tc>
          <w:tcPr>
            <w:tcW w:w="3650" w:type="dxa"/>
          </w:tcPr>
          <w:p w14:paraId="17C7F891" w14:textId="32E7CA73" w:rsidR="007B3244" w:rsidRDefault="007B3244" w:rsidP="007B3244">
            <w:pPr>
              <w:tabs>
                <w:tab w:val="left" w:pos="6840"/>
              </w:tabs>
              <w:jc w:val="both"/>
              <w:rPr>
                <w:sz w:val="22"/>
                <w:szCs w:val="22"/>
              </w:rPr>
            </w:pPr>
            <w:r>
              <w:rPr>
                <w:sz w:val="22"/>
                <w:szCs w:val="22"/>
              </w:rPr>
              <w:t>Šī informatīvā ziņojuma mērķis ir informēt par plānošanas reģionu funkcionālās pilnveidošanas nepieciešamību, uzdodot nozaru ministrijām sniegt informāciju</w:t>
            </w:r>
            <w:r w:rsidR="00A97D80">
              <w:rPr>
                <w:sz w:val="22"/>
                <w:szCs w:val="22"/>
              </w:rPr>
              <w:t xml:space="preserve"> </w:t>
            </w:r>
            <w:r w:rsidRPr="00BD6681">
              <w:rPr>
                <w:sz w:val="22"/>
                <w:szCs w:val="22"/>
              </w:rPr>
              <w:t>par to, kādu kompetenci vai uzdevumus ministrijas būtu gatavas nodot reģionālajam pārvaldes līmenim - esošajiem PR, pilnveidojot to funkcionālo, finansiālo un pārvaldes statusu, norādot attiecīgus finansējuma avotus.</w:t>
            </w:r>
          </w:p>
          <w:p w14:paraId="4A3B5AF6" w14:textId="1DC44325" w:rsidR="007B3244" w:rsidRPr="007347FF" w:rsidRDefault="007B3244" w:rsidP="007B3244">
            <w:pPr>
              <w:pStyle w:val="naisc"/>
              <w:spacing w:before="0" w:after="0"/>
              <w:ind w:firstLine="5"/>
              <w:jc w:val="both"/>
              <w:rPr>
                <w:b/>
              </w:rPr>
            </w:pPr>
            <w:r>
              <w:rPr>
                <w:sz w:val="22"/>
                <w:szCs w:val="22"/>
              </w:rPr>
              <w:t xml:space="preserve">MK </w:t>
            </w:r>
            <w:proofErr w:type="spellStart"/>
            <w:r>
              <w:rPr>
                <w:sz w:val="22"/>
                <w:szCs w:val="22"/>
              </w:rPr>
              <w:t>prookollēmuma</w:t>
            </w:r>
            <w:proofErr w:type="spellEnd"/>
            <w:r>
              <w:rPr>
                <w:sz w:val="22"/>
                <w:szCs w:val="22"/>
              </w:rPr>
              <w:t xml:space="preserve"> projekts paredz </w:t>
            </w:r>
            <w:r w:rsidRPr="00BD6681">
              <w:rPr>
                <w:sz w:val="22"/>
                <w:szCs w:val="22"/>
              </w:rPr>
              <w:t xml:space="preserve">Vides aizsardzības un reģionālās attīstības ministrijai līdz 2020. gada 16. aprīlim iesniegt Ministru kabinetā noteiktā kārtībā konceptuālo  ziņojumu  </w:t>
            </w:r>
            <w:r w:rsidRPr="00BD6681">
              <w:rPr>
                <w:sz w:val="22"/>
                <w:szCs w:val="22"/>
              </w:rPr>
              <w:lastRenderedPageBreak/>
              <w:t xml:space="preserve">par  plānošanas reģionu darbības (reģionālā pārvaldes līmeņa) uzlabošanu un kopējas statistiski teritoriālo vienību klasifikācijas (NUTS) izmaiņām. </w:t>
            </w:r>
            <w:r>
              <w:rPr>
                <w:sz w:val="22"/>
                <w:szCs w:val="22"/>
              </w:rPr>
              <w:t xml:space="preserve">Konceptuālajā </w:t>
            </w:r>
            <w:r w:rsidRPr="007B3244">
              <w:t xml:space="preserve">ziņojumā, tad arī tiks </w:t>
            </w:r>
            <w:r w:rsidRPr="007B3244">
              <w:rPr>
                <w:bCs/>
                <w:color w:val="000000"/>
              </w:rPr>
              <w:t xml:space="preserve">piedāvāti varianti attiecībā uz </w:t>
            </w:r>
            <w:proofErr w:type="spellStart"/>
            <w:r w:rsidRPr="007B3244">
              <w:rPr>
                <w:bCs/>
                <w:color w:val="000000"/>
              </w:rPr>
              <w:t>apriņķu</w:t>
            </w:r>
            <w:proofErr w:type="spellEnd"/>
            <w:r w:rsidRPr="007B3244">
              <w:rPr>
                <w:bCs/>
                <w:color w:val="000000"/>
              </w:rPr>
              <w:t xml:space="preserve"> pašvaldību veidošanu un plānošanas reģionu darbības stiprināšanu</w:t>
            </w:r>
            <w:r w:rsidRPr="007B3244">
              <w:rPr>
                <w:color w:val="000000"/>
              </w:rPr>
              <w:t>.</w:t>
            </w:r>
          </w:p>
          <w:p w14:paraId="6D979669" w14:textId="6423BDF5" w:rsidR="007B3244" w:rsidRPr="00BD6681" w:rsidRDefault="007B3244" w:rsidP="007B3244">
            <w:pPr>
              <w:jc w:val="both"/>
              <w:rPr>
                <w:sz w:val="22"/>
                <w:szCs w:val="22"/>
              </w:rPr>
            </w:pPr>
          </w:p>
          <w:p w14:paraId="5F4B0CD1" w14:textId="77777777" w:rsidR="007B17AC" w:rsidRPr="006E7B3F" w:rsidRDefault="007B17AC" w:rsidP="007347FF">
            <w:pPr>
              <w:tabs>
                <w:tab w:val="left" w:pos="6840"/>
              </w:tabs>
              <w:jc w:val="both"/>
              <w:rPr>
                <w:sz w:val="22"/>
                <w:szCs w:val="22"/>
              </w:rPr>
            </w:pPr>
          </w:p>
        </w:tc>
      </w:tr>
      <w:tr w:rsidR="007B17AC" w:rsidRPr="006E7B3F" w14:paraId="74FAA42B" w14:textId="77777777" w:rsidTr="00ED12D2">
        <w:tc>
          <w:tcPr>
            <w:tcW w:w="985" w:type="dxa"/>
          </w:tcPr>
          <w:p w14:paraId="1A2FF68F" w14:textId="77777777" w:rsidR="007B17AC" w:rsidRPr="006E7B3F" w:rsidRDefault="007B17AC" w:rsidP="00BD6681">
            <w:pPr>
              <w:pStyle w:val="naisc"/>
              <w:numPr>
                <w:ilvl w:val="0"/>
                <w:numId w:val="1"/>
              </w:numPr>
              <w:spacing w:before="0" w:after="0"/>
              <w:jc w:val="both"/>
              <w:rPr>
                <w:sz w:val="22"/>
                <w:szCs w:val="22"/>
              </w:rPr>
            </w:pPr>
          </w:p>
        </w:tc>
        <w:tc>
          <w:tcPr>
            <w:tcW w:w="3263" w:type="dxa"/>
            <w:gridSpan w:val="2"/>
          </w:tcPr>
          <w:p w14:paraId="3D128B7D" w14:textId="77777777" w:rsidR="007B17AC" w:rsidRDefault="007B17AC" w:rsidP="00BD6681">
            <w:pPr>
              <w:jc w:val="both"/>
              <w:rPr>
                <w:b/>
                <w:sz w:val="22"/>
                <w:szCs w:val="22"/>
              </w:rPr>
            </w:pPr>
          </w:p>
        </w:tc>
        <w:tc>
          <w:tcPr>
            <w:tcW w:w="4536" w:type="dxa"/>
          </w:tcPr>
          <w:p w14:paraId="756F552B" w14:textId="21E0206C" w:rsidR="007B17AC" w:rsidRPr="007347FF" w:rsidRDefault="007B17AC" w:rsidP="007347FF">
            <w:pPr>
              <w:pStyle w:val="naisc"/>
              <w:spacing w:before="0" w:after="0"/>
              <w:ind w:firstLine="5"/>
              <w:jc w:val="both"/>
              <w:rPr>
                <w:b/>
              </w:rPr>
            </w:pPr>
            <w:r w:rsidRPr="007347FF">
              <w:rPr>
                <w:b/>
              </w:rPr>
              <w:t xml:space="preserve">Latvijas Lielo pilsētu asociācijas 2019. gada 6.novembra atzinums, 4. iebildums. </w:t>
            </w:r>
          </w:p>
          <w:p w14:paraId="69CC1FBA" w14:textId="6F02BA93" w:rsidR="007B17AC" w:rsidRPr="007347FF" w:rsidRDefault="007B17AC" w:rsidP="007347FF">
            <w:pPr>
              <w:jc w:val="both"/>
            </w:pPr>
            <w:r w:rsidRPr="007347FF">
              <w:t xml:space="preserve">Informatīvā ziņojuma projektā gan 1. lpp., gan 2. lpp. tiek minēts turpmākais apzīmējums – konceptuālais ziņojums. </w:t>
            </w:r>
          </w:p>
          <w:p w14:paraId="0B7E1574" w14:textId="13E440E6" w:rsidR="007B17AC" w:rsidRPr="00A97D80" w:rsidRDefault="007B17AC" w:rsidP="00A97D80">
            <w:pPr>
              <w:jc w:val="both"/>
            </w:pPr>
            <w:r w:rsidRPr="007B3244">
              <w:rPr>
                <w:bCs/>
              </w:rPr>
              <w:t>Līdz ar to turpmākajā tekstā nav saprotams, par kuru no konceptuālajiem ziņojumiem tiek veikta atsauce.</w:t>
            </w:r>
            <w:r w:rsidRPr="007B3244">
              <w:t xml:space="preserve"> Aicinām precizēt Informatīvā ziņojuma projektu.</w:t>
            </w:r>
          </w:p>
        </w:tc>
        <w:tc>
          <w:tcPr>
            <w:tcW w:w="2551" w:type="dxa"/>
            <w:gridSpan w:val="2"/>
          </w:tcPr>
          <w:p w14:paraId="7F09AAD9" w14:textId="2F38F1F4" w:rsidR="007B17AC" w:rsidRPr="006E7B3F" w:rsidRDefault="00087222" w:rsidP="007347FF">
            <w:pPr>
              <w:pStyle w:val="naisc"/>
              <w:spacing w:before="0" w:after="0"/>
              <w:jc w:val="both"/>
              <w:rPr>
                <w:b/>
                <w:sz w:val="22"/>
                <w:szCs w:val="22"/>
              </w:rPr>
            </w:pPr>
            <w:r w:rsidRPr="006E7B3F">
              <w:rPr>
                <w:b/>
                <w:sz w:val="22"/>
                <w:szCs w:val="22"/>
              </w:rPr>
              <w:t>Ņemts vērā</w:t>
            </w:r>
          </w:p>
        </w:tc>
        <w:tc>
          <w:tcPr>
            <w:tcW w:w="3650" w:type="dxa"/>
          </w:tcPr>
          <w:p w14:paraId="30EC5160" w14:textId="5812CB59" w:rsidR="007B17AC" w:rsidRPr="006E7B3F" w:rsidRDefault="00741D93" w:rsidP="007347FF">
            <w:pPr>
              <w:tabs>
                <w:tab w:val="left" w:pos="6840"/>
              </w:tabs>
              <w:jc w:val="both"/>
              <w:rPr>
                <w:sz w:val="22"/>
                <w:szCs w:val="22"/>
              </w:rPr>
            </w:pPr>
            <w:r w:rsidRPr="006E7B3F">
              <w:rPr>
                <w:sz w:val="22"/>
                <w:szCs w:val="22"/>
              </w:rPr>
              <w:t>Tekstā svītrots apzīmējums “Konceptuālais ziņojums”</w:t>
            </w:r>
          </w:p>
        </w:tc>
      </w:tr>
      <w:tr w:rsidR="00AD2F6C" w:rsidRPr="006E7B3F" w14:paraId="0630112A" w14:textId="77777777" w:rsidTr="00ED12D2">
        <w:tc>
          <w:tcPr>
            <w:tcW w:w="985" w:type="dxa"/>
          </w:tcPr>
          <w:p w14:paraId="62FB7DE7" w14:textId="77777777" w:rsidR="00AD2F6C" w:rsidRPr="006E7B3F" w:rsidRDefault="00AD2F6C" w:rsidP="00AD2F6C">
            <w:pPr>
              <w:pStyle w:val="naisc"/>
              <w:numPr>
                <w:ilvl w:val="0"/>
                <w:numId w:val="1"/>
              </w:numPr>
              <w:spacing w:before="0" w:after="0"/>
              <w:jc w:val="both"/>
              <w:rPr>
                <w:sz w:val="22"/>
                <w:szCs w:val="22"/>
              </w:rPr>
            </w:pPr>
          </w:p>
        </w:tc>
        <w:tc>
          <w:tcPr>
            <w:tcW w:w="3263" w:type="dxa"/>
            <w:gridSpan w:val="2"/>
          </w:tcPr>
          <w:p w14:paraId="6519F8BB" w14:textId="77777777" w:rsidR="00AD2F6C" w:rsidRDefault="00AD2F6C" w:rsidP="00AD2F6C">
            <w:pPr>
              <w:jc w:val="both"/>
              <w:rPr>
                <w:b/>
                <w:sz w:val="22"/>
                <w:szCs w:val="22"/>
              </w:rPr>
            </w:pPr>
          </w:p>
        </w:tc>
        <w:tc>
          <w:tcPr>
            <w:tcW w:w="4536" w:type="dxa"/>
          </w:tcPr>
          <w:p w14:paraId="48B4AC7D" w14:textId="71D81DAE" w:rsidR="00AD2F6C" w:rsidRPr="007347FF" w:rsidRDefault="00AD2F6C" w:rsidP="00AD2F6C">
            <w:pPr>
              <w:pStyle w:val="naisc"/>
              <w:spacing w:before="0" w:after="0"/>
              <w:ind w:firstLine="5"/>
              <w:jc w:val="both"/>
              <w:rPr>
                <w:b/>
              </w:rPr>
            </w:pPr>
            <w:r w:rsidRPr="007347FF">
              <w:rPr>
                <w:b/>
              </w:rPr>
              <w:t xml:space="preserve">Latvijas Lielo pilsētu asociācijas 2019. gada 6.novembra atzinums, 5. iebildums. </w:t>
            </w:r>
          </w:p>
          <w:p w14:paraId="1DBD2631" w14:textId="0AAD2CF1" w:rsidR="00AD2F6C" w:rsidRPr="007347FF" w:rsidRDefault="00AD2F6C" w:rsidP="00AD2F6C">
            <w:pPr>
              <w:jc w:val="both"/>
            </w:pPr>
            <w:r w:rsidRPr="007347FF">
              <w:t xml:space="preserve">Vēršam uzmanību, ka bez padziļinātās analīzes un  argumentēšanas par otrā līmeņa pašvaldību veikšanas, LLPA ieskatā nav iespējams apgalvot, ka arī turpmāk politiskajā un valdības līmenī varētu nebūt atbalsts </w:t>
            </w:r>
            <w:proofErr w:type="spellStart"/>
            <w:r w:rsidRPr="007347FF">
              <w:t>apriņķu</w:t>
            </w:r>
            <w:proofErr w:type="spellEnd"/>
            <w:r w:rsidRPr="007347FF">
              <w:t xml:space="preserve"> kā reģionālo pašvaldību izveidei.</w:t>
            </w:r>
          </w:p>
          <w:p w14:paraId="7C6EEF27" w14:textId="77777777" w:rsidR="00AD2F6C" w:rsidRPr="007347FF" w:rsidRDefault="00AD2F6C" w:rsidP="00AD2F6C">
            <w:pPr>
              <w:jc w:val="both"/>
            </w:pPr>
            <w:r w:rsidRPr="007347FF">
              <w:t>Lūdzam skaidrot apgalvojuma, ka otrā līmeņa pašvaldību izveide iezīmētu arī birokrātijas un administratīvā sloga palielināšanu, pamatojumu.</w:t>
            </w:r>
          </w:p>
          <w:p w14:paraId="30681AC4" w14:textId="369A73F3" w:rsidR="00AD2F6C" w:rsidRPr="007347FF" w:rsidRDefault="00AD2F6C" w:rsidP="00A97D80">
            <w:pPr>
              <w:pStyle w:val="naisc"/>
              <w:spacing w:before="0" w:after="0"/>
              <w:ind w:firstLine="5"/>
              <w:jc w:val="both"/>
              <w:rPr>
                <w:b/>
              </w:rPr>
            </w:pPr>
            <w:r w:rsidRPr="007347FF">
              <w:t xml:space="preserve"> Uzskatam, ka jau pašlaik plānošanas reģiona darbība un VARAM piedāvātais uzlabotais pārvaldes modelis veicina birokrātijas un administratīvo sloga pieaugumu, kas, savukārt, neveicina nodokļu maksātāju iemaksāto nodokļu racionālu un efektīvu </w:t>
            </w:r>
            <w:r w:rsidRPr="007347FF">
              <w:lastRenderedPageBreak/>
              <w:t>izmantošanu, valsts pārvaldes aparāta samazināšanu.</w:t>
            </w:r>
          </w:p>
        </w:tc>
        <w:tc>
          <w:tcPr>
            <w:tcW w:w="2551" w:type="dxa"/>
            <w:gridSpan w:val="2"/>
          </w:tcPr>
          <w:p w14:paraId="24D79C35" w14:textId="7F08F558" w:rsidR="00AD2F6C" w:rsidRPr="006E7B3F" w:rsidRDefault="00AD2F6C" w:rsidP="00AD2F6C">
            <w:pPr>
              <w:pStyle w:val="naisc"/>
              <w:spacing w:before="0" w:after="0"/>
              <w:jc w:val="both"/>
              <w:rPr>
                <w:b/>
                <w:sz w:val="22"/>
                <w:szCs w:val="22"/>
              </w:rPr>
            </w:pPr>
            <w:r w:rsidRPr="006E7B3F">
              <w:rPr>
                <w:b/>
                <w:sz w:val="22"/>
                <w:szCs w:val="22"/>
              </w:rPr>
              <w:lastRenderedPageBreak/>
              <w:t>Ņemts vērā</w:t>
            </w:r>
          </w:p>
        </w:tc>
        <w:tc>
          <w:tcPr>
            <w:tcW w:w="3650" w:type="dxa"/>
          </w:tcPr>
          <w:p w14:paraId="0E2AC103" w14:textId="77777777" w:rsidR="00AD2F6C" w:rsidRPr="00C00885" w:rsidRDefault="00AD2F6C" w:rsidP="00AD2F6C">
            <w:pPr>
              <w:tabs>
                <w:tab w:val="left" w:pos="6840"/>
              </w:tabs>
              <w:jc w:val="both"/>
              <w:rPr>
                <w:sz w:val="22"/>
                <w:szCs w:val="22"/>
              </w:rPr>
            </w:pPr>
            <w:r w:rsidRPr="006E7B3F">
              <w:rPr>
                <w:sz w:val="22"/>
                <w:szCs w:val="22"/>
              </w:rPr>
              <w:t>Svītrots teikums: “</w:t>
            </w:r>
            <w:r w:rsidRPr="00C00885">
              <w:rPr>
                <w:sz w:val="22"/>
                <w:szCs w:val="22"/>
              </w:rPr>
              <w:t xml:space="preserve">VARAM ieskatā augstāk minētais neliecina par to, ka arī turpmāk politiskajā un valdības līmenī varētu būt atbalsts </w:t>
            </w:r>
            <w:proofErr w:type="spellStart"/>
            <w:r w:rsidRPr="00C00885">
              <w:rPr>
                <w:sz w:val="22"/>
                <w:szCs w:val="22"/>
              </w:rPr>
              <w:t>apriņķu</w:t>
            </w:r>
            <w:proofErr w:type="spellEnd"/>
            <w:r w:rsidRPr="00C00885">
              <w:rPr>
                <w:sz w:val="22"/>
                <w:szCs w:val="22"/>
              </w:rPr>
              <w:t xml:space="preserve"> kā reģionālo pašvaldību izveidei.”</w:t>
            </w:r>
          </w:p>
          <w:p w14:paraId="7E907045" w14:textId="193B461E" w:rsidR="00AD2F6C" w:rsidRPr="006E7B3F" w:rsidRDefault="00AD2F6C" w:rsidP="00AD2F6C">
            <w:pPr>
              <w:tabs>
                <w:tab w:val="left" w:pos="6840"/>
              </w:tabs>
              <w:jc w:val="both"/>
              <w:rPr>
                <w:sz w:val="22"/>
                <w:szCs w:val="22"/>
              </w:rPr>
            </w:pPr>
            <w:r w:rsidRPr="00C00885">
              <w:rPr>
                <w:sz w:val="22"/>
                <w:szCs w:val="22"/>
              </w:rPr>
              <w:t xml:space="preserve">Vienlaikus informatīvais ziņojums papildināts ar sekojošu tekstu: “sagatavojot risinājumus plānošanas reģionu darbības uzlabošanai konceptuālā  ziņojuma  par  plānošanas reģionu darbības (reģionālā pārvaldes līmeņa) uzlabošanu un kopējas statistiski teritoriālo vienību klasifikācijas (NUTS) izmaiņām ietvaros, tiks sniegts arī vērtējums par </w:t>
            </w:r>
            <w:proofErr w:type="spellStart"/>
            <w:r w:rsidRPr="00C00885">
              <w:rPr>
                <w:sz w:val="22"/>
                <w:szCs w:val="22"/>
              </w:rPr>
              <w:t>apriņķu</w:t>
            </w:r>
            <w:proofErr w:type="spellEnd"/>
            <w:r w:rsidRPr="00C00885">
              <w:rPr>
                <w:sz w:val="22"/>
                <w:szCs w:val="22"/>
              </w:rPr>
              <w:t xml:space="preserve"> (reģionālo) pašvaldību izveides nepieciešamību.”</w:t>
            </w:r>
          </w:p>
        </w:tc>
      </w:tr>
      <w:tr w:rsidR="00AD2F6C" w:rsidRPr="006E7B3F" w14:paraId="49BE814E" w14:textId="77777777" w:rsidTr="00ED12D2">
        <w:tc>
          <w:tcPr>
            <w:tcW w:w="985" w:type="dxa"/>
          </w:tcPr>
          <w:p w14:paraId="184AA7A4" w14:textId="77777777" w:rsidR="00AD2F6C" w:rsidRPr="006E7B3F" w:rsidRDefault="00AD2F6C" w:rsidP="00AD2F6C">
            <w:pPr>
              <w:pStyle w:val="naisc"/>
              <w:numPr>
                <w:ilvl w:val="0"/>
                <w:numId w:val="1"/>
              </w:numPr>
              <w:spacing w:before="0" w:after="0"/>
              <w:jc w:val="both"/>
              <w:rPr>
                <w:sz w:val="22"/>
                <w:szCs w:val="22"/>
              </w:rPr>
            </w:pPr>
          </w:p>
        </w:tc>
        <w:tc>
          <w:tcPr>
            <w:tcW w:w="3263" w:type="dxa"/>
            <w:gridSpan w:val="2"/>
          </w:tcPr>
          <w:p w14:paraId="030E04B7" w14:textId="77777777" w:rsidR="00AD2F6C" w:rsidRDefault="00AD2F6C" w:rsidP="00AD2F6C">
            <w:pPr>
              <w:jc w:val="both"/>
              <w:rPr>
                <w:b/>
                <w:sz w:val="22"/>
                <w:szCs w:val="22"/>
              </w:rPr>
            </w:pPr>
          </w:p>
        </w:tc>
        <w:tc>
          <w:tcPr>
            <w:tcW w:w="4536" w:type="dxa"/>
          </w:tcPr>
          <w:p w14:paraId="2C73641B" w14:textId="21E8D2B1" w:rsidR="00AD2F6C" w:rsidRPr="007347FF" w:rsidRDefault="00AD2F6C" w:rsidP="00AD2F6C">
            <w:pPr>
              <w:pStyle w:val="naisc"/>
              <w:spacing w:before="0" w:after="0"/>
              <w:ind w:firstLine="5"/>
              <w:jc w:val="both"/>
              <w:rPr>
                <w:b/>
              </w:rPr>
            </w:pPr>
            <w:r w:rsidRPr="007347FF">
              <w:rPr>
                <w:b/>
              </w:rPr>
              <w:t xml:space="preserve">Latvijas Lielo pilsētu asociācijas 2019. gada 6.novembra atzinums, 6. iebildums. </w:t>
            </w:r>
          </w:p>
          <w:p w14:paraId="54041CC6" w14:textId="196971FC" w:rsidR="00AD2F6C" w:rsidRPr="007347FF" w:rsidRDefault="00AD2F6C" w:rsidP="00AD2F6C">
            <w:pPr>
              <w:jc w:val="both"/>
            </w:pPr>
            <w:r w:rsidRPr="007347FF">
              <w:t xml:space="preserve">No Informatīvā ziņojuma projekta izriet, ka viens no plānošanas reģiona uzdevumiem varētu būt reģionālu projektu koordinēšana. LLPA ieskatā </w:t>
            </w:r>
            <w:r w:rsidRPr="007347FF">
              <w:rPr>
                <w:b/>
                <w:bCs/>
              </w:rPr>
              <w:t xml:space="preserve">nav skaidrs, kādā veidā paredzēts īstenot tādus projektus, kas skar pašvaldības vairākos plānošanas reģionos, </w:t>
            </w:r>
            <w:r w:rsidRPr="007347FF">
              <w:t xml:space="preserve">piemēram, ja plāno īstenot tādus projektus kā piemēram </w:t>
            </w:r>
            <w:proofErr w:type="spellStart"/>
            <w:r w:rsidRPr="007347FF">
              <w:t>EiroVelo</w:t>
            </w:r>
            <w:proofErr w:type="spellEnd"/>
            <w:r w:rsidRPr="007347FF">
              <w:t xml:space="preserve"> projekts un piekrastes attīstība, kas stiepjas pāri viena reģiona robežām.</w:t>
            </w:r>
          </w:p>
          <w:p w14:paraId="3CD0A7A7" w14:textId="77777777" w:rsidR="00AD2F6C" w:rsidRPr="007347FF" w:rsidRDefault="00AD2F6C" w:rsidP="00AD2F6C">
            <w:pPr>
              <w:jc w:val="both"/>
              <w:rPr>
                <w:b/>
                <w:bCs/>
              </w:rPr>
            </w:pPr>
            <w:r w:rsidRPr="007347FF">
              <w:t xml:space="preserve">Lūdzam Informatīvā ziņojuma projektu </w:t>
            </w:r>
            <w:r w:rsidRPr="007347FF">
              <w:rPr>
                <w:b/>
                <w:bCs/>
              </w:rPr>
              <w:t>papildināt ar analīzi un piemēriem par  plānošanas reģionu darbības rezultātiem šādu jautājumu risināšanā:</w:t>
            </w:r>
          </w:p>
          <w:p w14:paraId="2BBC95B3" w14:textId="77777777" w:rsidR="00AD2F6C" w:rsidRPr="007347FF" w:rsidRDefault="00AD2F6C" w:rsidP="00AD2F6C">
            <w:pPr>
              <w:numPr>
                <w:ilvl w:val="0"/>
                <w:numId w:val="28"/>
              </w:numPr>
              <w:ind w:left="240" w:hanging="240"/>
              <w:jc w:val="both"/>
            </w:pPr>
            <w:r w:rsidRPr="007347FF">
              <w:t>Piesaistītās investīcijas reģionos. Kāds ir katra plānošanas reģiona piesaistīto investīciju apjoms? Cik daudz jaunas darba vietas ir izveidotas?</w:t>
            </w:r>
          </w:p>
          <w:p w14:paraId="7CC7BA4F" w14:textId="77777777" w:rsidR="00AD2F6C" w:rsidRPr="007347FF" w:rsidRDefault="00AD2F6C" w:rsidP="00AD2F6C">
            <w:pPr>
              <w:numPr>
                <w:ilvl w:val="0"/>
                <w:numId w:val="28"/>
              </w:numPr>
              <w:ind w:left="240" w:hanging="240"/>
              <w:jc w:val="both"/>
            </w:pPr>
            <w:r w:rsidRPr="007347FF">
              <w:t>Izveidotas ekosistēmas reģionos;</w:t>
            </w:r>
          </w:p>
          <w:p w14:paraId="0A528987" w14:textId="2656D80F" w:rsidR="00AD2F6C" w:rsidRPr="007347FF" w:rsidRDefault="00AD2F6C" w:rsidP="00AD2F6C">
            <w:pPr>
              <w:numPr>
                <w:ilvl w:val="0"/>
                <w:numId w:val="28"/>
              </w:numPr>
              <w:ind w:left="240" w:hanging="240"/>
              <w:jc w:val="both"/>
            </w:pPr>
            <w:r w:rsidRPr="007347FF">
              <w:t>Piesaistītie cilvēkresursi atbilstoši darba tirgus reģionālajam pieprasījumam un reģionālajai mobilitātei. Cik daudz cilvēku katrs plānošanas reģions piesaistīja?</w:t>
            </w:r>
          </w:p>
          <w:p w14:paraId="57F0CF1B" w14:textId="1B72AD27" w:rsidR="00AD2F6C" w:rsidRPr="007347FF" w:rsidRDefault="00AD2F6C" w:rsidP="00AD2F6C">
            <w:pPr>
              <w:pStyle w:val="naisc"/>
              <w:spacing w:before="0" w:after="0"/>
              <w:ind w:firstLine="5"/>
              <w:jc w:val="both"/>
              <w:rPr>
                <w:b/>
              </w:rPr>
            </w:pPr>
            <w:r w:rsidRPr="007347FF">
              <w:t xml:space="preserve">Vēršam uzmanību, ka biedrība “Latvijas Pašvaldību savienība” (LPS) saskaņā ar likuma "Par pašvaldībām" 96.pantu ir tiesīga pārstāvēt pašvaldības to sarunās ar Ministru </w:t>
            </w:r>
            <w:r w:rsidRPr="007347FF">
              <w:lastRenderedPageBreak/>
              <w:t xml:space="preserve">kabinetu. Tādējādi </w:t>
            </w:r>
            <w:r w:rsidRPr="007347FF">
              <w:rPr>
                <w:b/>
                <w:bCs/>
              </w:rPr>
              <w:t>pašvaldību kopīgo problēmu risināšanai un sadarbībai ar nacionālā līmeņa institūcijām, speciāli nav jāveido vai jāpilnveido plānošanas reģionus.</w:t>
            </w:r>
            <w:r w:rsidRPr="007347FF">
              <w:t xml:space="preserve"> Tiktu samazināti valsts tēriņi valsts aparāta uzturēšanai.</w:t>
            </w:r>
          </w:p>
          <w:p w14:paraId="4BD7948E" w14:textId="21E8D2B1" w:rsidR="00AD2F6C" w:rsidRPr="007347FF" w:rsidRDefault="00AD2F6C" w:rsidP="00AD2F6C">
            <w:pPr>
              <w:pStyle w:val="naisc"/>
              <w:spacing w:before="0" w:after="0"/>
              <w:ind w:firstLine="5"/>
              <w:jc w:val="both"/>
              <w:rPr>
                <w:b/>
              </w:rPr>
            </w:pPr>
          </w:p>
        </w:tc>
        <w:tc>
          <w:tcPr>
            <w:tcW w:w="2551" w:type="dxa"/>
            <w:gridSpan w:val="2"/>
          </w:tcPr>
          <w:p w14:paraId="286AEEA5" w14:textId="36A6F708" w:rsidR="00AD2F6C" w:rsidRPr="006E7B3F" w:rsidRDefault="00AD2F6C" w:rsidP="00AD2F6C">
            <w:pPr>
              <w:pStyle w:val="naisc"/>
              <w:spacing w:before="0" w:after="0"/>
              <w:jc w:val="both"/>
              <w:rPr>
                <w:b/>
                <w:sz w:val="22"/>
                <w:szCs w:val="22"/>
              </w:rPr>
            </w:pPr>
            <w:r w:rsidRPr="006E7B3F">
              <w:rPr>
                <w:b/>
                <w:sz w:val="22"/>
                <w:szCs w:val="22"/>
              </w:rPr>
              <w:lastRenderedPageBreak/>
              <w:t>Ņemts vērā</w:t>
            </w:r>
          </w:p>
        </w:tc>
        <w:tc>
          <w:tcPr>
            <w:tcW w:w="3650" w:type="dxa"/>
          </w:tcPr>
          <w:p w14:paraId="0DCEADC3" w14:textId="77777777" w:rsidR="00AD2F6C" w:rsidRDefault="00A97D80" w:rsidP="00A97D80">
            <w:pPr>
              <w:tabs>
                <w:tab w:val="left" w:pos="6840"/>
              </w:tabs>
              <w:jc w:val="both"/>
              <w:rPr>
                <w:sz w:val="22"/>
                <w:szCs w:val="22"/>
              </w:rPr>
            </w:pPr>
            <w:r>
              <w:rPr>
                <w:sz w:val="22"/>
                <w:szCs w:val="22"/>
              </w:rPr>
              <w:t>Norādām, ka jau šobrīd ir pieredze projektu īstenošanā</w:t>
            </w:r>
            <w:r w:rsidRPr="00A97D80">
              <w:rPr>
                <w:sz w:val="22"/>
                <w:szCs w:val="22"/>
              </w:rPr>
              <w:t>, kas skar pašvaldības vairākos plānošanas reģionos</w:t>
            </w:r>
            <w:r>
              <w:rPr>
                <w:sz w:val="22"/>
                <w:szCs w:val="22"/>
              </w:rPr>
              <w:t>, piemēram, Kurzemes un Rīgas plānošanas reģionu pieredze projektu īstenošanā piekrastes teritoriju attīstībai.</w:t>
            </w:r>
          </w:p>
          <w:p w14:paraId="4CECC3BE" w14:textId="47716430" w:rsidR="00A97D80" w:rsidRDefault="00A97D80" w:rsidP="00A97D80">
            <w:pPr>
              <w:jc w:val="both"/>
              <w:rPr>
                <w:sz w:val="22"/>
                <w:szCs w:val="22"/>
              </w:rPr>
            </w:pPr>
            <w:r>
              <w:rPr>
                <w:sz w:val="22"/>
                <w:szCs w:val="22"/>
              </w:rPr>
              <w:t>Plānošanas reģionu darbības rezultāti tiks atspoguļoti konceptuālajā  ziņojumā</w:t>
            </w:r>
            <w:r w:rsidRPr="006E7B3F">
              <w:rPr>
                <w:sz w:val="22"/>
                <w:szCs w:val="22"/>
              </w:rPr>
              <w:t xml:space="preserve">  par  plānošanas reģionu darbības (reģionālā pārvaldes līmeņa) uzlabošanu un kopējas statistiski teritoriālo vienību klasifikācijas (NUTS) izmaiņām, </w:t>
            </w:r>
            <w:r>
              <w:rPr>
                <w:sz w:val="22"/>
                <w:szCs w:val="22"/>
              </w:rPr>
              <w:t>padziļināti izvērtējot arī PR darbību</w:t>
            </w:r>
            <w:r w:rsidRPr="006E7B3F">
              <w:rPr>
                <w:sz w:val="22"/>
                <w:szCs w:val="22"/>
              </w:rPr>
              <w:t xml:space="preserve"> pa to darbības jomām.</w:t>
            </w:r>
          </w:p>
          <w:p w14:paraId="2AB4DA98" w14:textId="77777777" w:rsidR="00A97D80" w:rsidRDefault="00A97D80" w:rsidP="00120A1F">
            <w:pPr>
              <w:tabs>
                <w:tab w:val="left" w:pos="6840"/>
              </w:tabs>
              <w:jc w:val="both"/>
              <w:rPr>
                <w:sz w:val="22"/>
                <w:szCs w:val="22"/>
              </w:rPr>
            </w:pPr>
            <w:r>
              <w:rPr>
                <w:sz w:val="22"/>
                <w:szCs w:val="22"/>
              </w:rPr>
              <w:t xml:space="preserve">Vienlaicīgi norādām, ka plānošanas reģioniem līdz šim nav bijuši pieejami </w:t>
            </w:r>
            <w:r w:rsidR="00120A1F">
              <w:rPr>
                <w:sz w:val="22"/>
                <w:szCs w:val="22"/>
              </w:rPr>
              <w:t>finanšu</w:t>
            </w:r>
            <w:r>
              <w:rPr>
                <w:sz w:val="22"/>
                <w:szCs w:val="22"/>
              </w:rPr>
              <w:t xml:space="preserve"> resursi ieguldījumiem</w:t>
            </w:r>
            <w:r w:rsidR="00120A1F">
              <w:rPr>
                <w:sz w:val="22"/>
                <w:szCs w:val="22"/>
              </w:rPr>
              <w:t>, kas tieši saistīti ar darba vietu radīšanu.</w:t>
            </w:r>
          </w:p>
          <w:p w14:paraId="7732C02C" w14:textId="77777777" w:rsidR="00120A1F" w:rsidRDefault="00120A1F" w:rsidP="00120A1F">
            <w:pPr>
              <w:tabs>
                <w:tab w:val="left" w:pos="6840"/>
              </w:tabs>
              <w:jc w:val="both"/>
              <w:rPr>
                <w:sz w:val="22"/>
                <w:szCs w:val="22"/>
              </w:rPr>
            </w:pPr>
          </w:p>
          <w:p w14:paraId="710358B5" w14:textId="7AA66BD6" w:rsidR="00120A1F" w:rsidRPr="006E7B3F" w:rsidRDefault="00120A1F" w:rsidP="00120A1F">
            <w:pPr>
              <w:jc w:val="both"/>
              <w:rPr>
                <w:sz w:val="22"/>
                <w:szCs w:val="22"/>
              </w:rPr>
            </w:pPr>
            <w:r w:rsidRPr="006E7B3F">
              <w:rPr>
                <w:sz w:val="22"/>
                <w:szCs w:val="22"/>
              </w:rPr>
              <w:t xml:space="preserve">Informatīvais ziņojums neparedz pilnveidot plānošanas reģionus tikai tamdēļ, lai risinātu pašvaldību kopīgās problēmas un veiktu sadarbību ar nacionālā līmeņa institūcijām. Šīs tiesības PR </w:t>
            </w:r>
            <w:r w:rsidR="001D4AE0">
              <w:rPr>
                <w:sz w:val="22"/>
                <w:szCs w:val="22"/>
              </w:rPr>
              <w:t>izmanto</w:t>
            </w:r>
            <w:r w:rsidRPr="006E7B3F">
              <w:rPr>
                <w:sz w:val="22"/>
                <w:szCs w:val="22"/>
              </w:rPr>
              <w:t xml:space="preserve"> esošā tiesiskā regulējuma ietvaros. Informatīvais ziņojums paredz </w:t>
            </w:r>
            <w:r w:rsidRPr="006E7B3F">
              <w:rPr>
                <w:rStyle w:val="FontStyle60"/>
                <w:rFonts w:eastAsiaTheme="minorEastAsia"/>
                <w:lang w:bidi="lo-LA"/>
              </w:rPr>
              <w:t xml:space="preserve">izvērtēt PR kā reģionālās pārvaldes iestādes perspektīvu un stabilitāti ilgtermiņā, jo </w:t>
            </w:r>
            <w:r w:rsidRPr="006E7B3F">
              <w:rPr>
                <w:sz w:val="22"/>
                <w:szCs w:val="22"/>
              </w:rPr>
              <w:t>Latvijas teritoriālajā attīstībā vienmēr nozīmīga loma būs:</w:t>
            </w:r>
          </w:p>
          <w:p w14:paraId="286F1A5B" w14:textId="77777777" w:rsidR="00120A1F" w:rsidRPr="006E7B3F" w:rsidRDefault="00120A1F" w:rsidP="001D4AE0">
            <w:pPr>
              <w:pStyle w:val="ListParagraph"/>
              <w:numPr>
                <w:ilvl w:val="0"/>
                <w:numId w:val="31"/>
              </w:numPr>
              <w:spacing w:after="0" w:line="240" w:lineRule="auto"/>
              <w:ind w:left="318" w:hanging="318"/>
              <w:contextualSpacing w:val="0"/>
              <w:jc w:val="both"/>
              <w:rPr>
                <w:rFonts w:ascii="Times New Roman" w:hAnsi="Times New Roman"/>
              </w:rPr>
            </w:pPr>
            <w:r w:rsidRPr="001D4AE0">
              <w:rPr>
                <w:rFonts w:ascii="Times New Roman" w:hAnsi="Times New Roman"/>
                <w:bCs/>
              </w:rPr>
              <w:lastRenderedPageBreak/>
              <w:t xml:space="preserve">reģionāliem projektiem, kas pēc </w:t>
            </w:r>
            <w:r w:rsidRPr="006E7B3F">
              <w:rPr>
                <w:rFonts w:ascii="Times New Roman" w:hAnsi="Times New Roman"/>
                <w:bCs/>
              </w:rPr>
              <w:t>savas nozīmes vai atrašanās vietas iet pāri vienas pašvaldības robežām;</w:t>
            </w:r>
          </w:p>
          <w:p w14:paraId="4952DF9D" w14:textId="77777777" w:rsidR="00120A1F" w:rsidRPr="006E7B3F" w:rsidRDefault="00120A1F" w:rsidP="00120A1F">
            <w:pPr>
              <w:pStyle w:val="ListParagraph"/>
              <w:numPr>
                <w:ilvl w:val="0"/>
                <w:numId w:val="31"/>
              </w:numPr>
              <w:spacing w:after="0" w:line="240" w:lineRule="auto"/>
              <w:ind w:left="318" w:hanging="284"/>
              <w:contextualSpacing w:val="0"/>
              <w:jc w:val="both"/>
              <w:rPr>
                <w:rFonts w:ascii="Times New Roman" w:hAnsi="Times New Roman"/>
              </w:rPr>
            </w:pPr>
            <w:r w:rsidRPr="006E7B3F">
              <w:rPr>
                <w:rFonts w:ascii="Times New Roman" w:hAnsi="Times New Roman"/>
                <w:bCs/>
              </w:rPr>
              <w:t>investīciju piesaistei reģionāla līmenī</w:t>
            </w:r>
            <w:r w:rsidRPr="006E7B3F">
              <w:rPr>
                <w:rFonts w:ascii="Times New Roman" w:hAnsi="Times New Roman"/>
              </w:rPr>
              <w:t xml:space="preserve"> – pašvaldību kopīgs piedāvājums investīciju piesaistei, novēršot neauglīgu konkurenci par iekšējo resursu pārdali;</w:t>
            </w:r>
          </w:p>
          <w:p w14:paraId="199D72EA" w14:textId="58B17D5A" w:rsidR="001D4AE0" w:rsidRPr="001D4AE0" w:rsidRDefault="00120A1F" w:rsidP="001D4AE0">
            <w:pPr>
              <w:pStyle w:val="ListParagraph"/>
              <w:numPr>
                <w:ilvl w:val="0"/>
                <w:numId w:val="31"/>
              </w:numPr>
              <w:spacing w:after="0" w:line="240" w:lineRule="auto"/>
              <w:ind w:left="318" w:hanging="284"/>
              <w:contextualSpacing w:val="0"/>
              <w:jc w:val="both"/>
              <w:rPr>
                <w:rFonts w:ascii="Times New Roman" w:hAnsi="Times New Roman"/>
              </w:rPr>
            </w:pPr>
            <w:r w:rsidRPr="006E7B3F">
              <w:rPr>
                <w:rFonts w:ascii="Times New Roman" w:hAnsi="Times New Roman"/>
                <w:bCs/>
              </w:rPr>
              <w:t>koordinētas reģionālās inovāciju sistēmas (ekosistēmas) izveidei un attīstībai;</w:t>
            </w:r>
            <w:r w:rsidR="003A5E4F">
              <w:rPr>
                <w:rFonts w:ascii="Times New Roman" w:hAnsi="Times New Roman"/>
                <w:bCs/>
              </w:rPr>
              <w:t xml:space="preserve"> </w:t>
            </w:r>
          </w:p>
          <w:p w14:paraId="2951FF5E" w14:textId="484E3D2B" w:rsidR="00120A1F" w:rsidRPr="001D4AE0" w:rsidRDefault="00120A1F" w:rsidP="001D4AE0">
            <w:pPr>
              <w:pStyle w:val="ListParagraph"/>
              <w:numPr>
                <w:ilvl w:val="0"/>
                <w:numId w:val="31"/>
              </w:numPr>
              <w:spacing w:after="0" w:line="240" w:lineRule="auto"/>
              <w:ind w:left="318" w:hanging="284"/>
              <w:contextualSpacing w:val="0"/>
              <w:jc w:val="both"/>
              <w:rPr>
                <w:rFonts w:ascii="Times New Roman" w:hAnsi="Times New Roman"/>
              </w:rPr>
            </w:pPr>
            <w:proofErr w:type="spellStart"/>
            <w:r w:rsidRPr="001D4AE0">
              <w:rPr>
                <w:rFonts w:ascii="Times New Roman" w:hAnsi="Times New Roman"/>
                <w:bCs/>
              </w:rPr>
              <w:t>cilvēkkapitāla</w:t>
            </w:r>
            <w:proofErr w:type="spellEnd"/>
            <w:r w:rsidRPr="001D4AE0">
              <w:rPr>
                <w:rFonts w:ascii="Times New Roman" w:hAnsi="Times New Roman"/>
                <w:bCs/>
              </w:rPr>
              <w:t xml:space="preserve"> piesaistei atbilstoši darba tirgus reģionālajam pieprasījumam un reģionālajai mobilitātei.</w:t>
            </w:r>
          </w:p>
        </w:tc>
      </w:tr>
      <w:tr w:rsidR="00AD2F6C" w:rsidRPr="006E7B3F" w14:paraId="321C8DE9" w14:textId="77777777" w:rsidTr="00ED12D2">
        <w:tc>
          <w:tcPr>
            <w:tcW w:w="985" w:type="dxa"/>
          </w:tcPr>
          <w:p w14:paraId="214FDC50" w14:textId="77777777" w:rsidR="00AD2F6C" w:rsidRPr="006E7B3F" w:rsidRDefault="00AD2F6C" w:rsidP="00AD2F6C">
            <w:pPr>
              <w:pStyle w:val="naisc"/>
              <w:numPr>
                <w:ilvl w:val="0"/>
                <w:numId w:val="1"/>
              </w:numPr>
              <w:spacing w:before="0" w:after="0"/>
              <w:jc w:val="both"/>
              <w:rPr>
                <w:sz w:val="22"/>
                <w:szCs w:val="22"/>
              </w:rPr>
            </w:pPr>
          </w:p>
        </w:tc>
        <w:tc>
          <w:tcPr>
            <w:tcW w:w="3263" w:type="dxa"/>
            <w:gridSpan w:val="2"/>
          </w:tcPr>
          <w:p w14:paraId="0FC3AD1A" w14:textId="77777777" w:rsidR="00AD2F6C" w:rsidRDefault="00AD2F6C" w:rsidP="00AD2F6C">
            <w:pPr>
              <w:jc w:val="both"/>
              <w:rPr>
                <w:b/>
                <w:sz w:val="22"/>
                <w:szCs w:val="22"/>
              </w:rPr>
            </w:pPr>
          </w:p>
        </w:tc>
        <w:tc>
          <w:tcPr>
            <w:tcW w:w="4536" w:type="dxa"/>
          </w:tcPr>
          <w:p w14:paraId="0C7CFB17" w14:textId="2DD2E2BC" w:rsidR="00AD2F6C" w:rsidRPr="007347FF" w:rsidRDefault="00AD2F6C" w:rsidP="00AD2F6C">
            <w:pPr>
              <w:pStyle w:val="naisc"/>
              <w:spacing w:before="0" w:after="0"/>
              <w:ind w:firstLine="5"/>
              <w:jc w:val="both"/>
              <w:rPr>
                <w:b/>
              </w:rPr>
            </w:pPr>
            <w:r w:rsidRPr="007347FF">
              <w:rPr>
                <w:b/>
              </w:rPr>
              <w:t xml:space="preserve">Latvijas Lielo pilsētu asociācijas 2019. gada 6.novembra atzinums, 7. iebildums. </w:t>
            </w:r>
          </w:p>
          <w:p w14:paraId="27971241" w14:textId="77777777" w:rsidR="00AD2F6C" w:rsidRPr="007347FF" w:rsidRDefault="00AD2F6C" w:rsidP="00AD2F6C">
            <w:pPr>
              <w:jc w:val="both"/>
            </w:pPr>
            <w:r w:rsidRPr="007347FF">
              <w:t xml:space="preserve">Šobrīd no Informatīvā ziņojuma projektā iekļautās informācijas </w:t>
            </w:r>
            <w:r w:rsidRPr="007347FF">
              <w:rPr>
                <w:b/>
                <w:bCs/>
              </w:rPr>
              <w:t xml:space="preserve">nevar gūt priekšstatu, vai visi plānošanas reģioni veic Reģionālās attīstības likumā, t.sk. citos izrietošajos normatīvajos aktos, norādītās kompetences un pienākumus, </w:t>
            </w:r>
            <w:r w:rsidRPr="007347FF">
              <w:t>kā rezultātā neizriet, kuru plānošanas reģionu darbībai ir nepieciešami uzlabojumi/pilnveidošanās, kādas funkcijas būtu jāpapildina vai jānomaina.</w:t>
            </w:r>
          </w:p>
          <w:p w14:paraId="772D6159" w14:textId="77777777" w:rsidR="00AD2F6C" w:rsidRPr="007347FF" w:rsidRDefault="00AD2F6C" w:rsidP="00AD2F6C">
            <w:pPr>
              <w:jc w:val="both"/>
            </w:pPr>
            <w:r w:rsidRPr="007347FF">
              <w:t xml:space="preserve">Piemēram, viena no plānošanas reģionu kompetencēm ir nodrošināt pašvaldību sadarbību ar nacionālas nozīmes institūcijām, kas ir būtiski dažādu nozaru normatīvo aktu </w:t>
            </w:r>
            <w:r w:rsidRPr="007347FF">
              <w:lastRenderedPageBreak/>
              <w:t xml:space="preserve">izstrādē un kopīgu jautājumu risināšanā, tādēļ būtu svarīgi saprast, vai plānošanas reģioni veic šo funkciju izpildi. </w:t>
            </w:r>
          </w:p>
          <w:p w14:paraId="22FC7A4A" w14:textId="77777777" w:rsidR="00AD2F6C" w:rsidRPr="007347FF" w:rsidRDefault="00AD2F6C" w:rsidP="00AD2F6C">
            <w:pPr>
              <w:jc w:val="both"/>
            </w:pPr>
            <w:r w:rsidRPr="007347FF">
              <w:t>Ja Informatīvā ziņojuma projektā tiek noteikts, ka plānošanas reģioni varētu veikt nozaru ministriju uzdoto, tad būtu jāsaprot, vai visi plānošanas reģioni būtu kompetenti veiktu šāda līmeņa uzdevumus, kāda veida šīs funkcijas būtu, kā arī jāparedz darba mērķis/rezultāts. Minētajā ziņojumā nav ietverta informācija, no kuras varētu par to pārliecināties.</w:t>
            </w:r>
          </w:p>
          <w:p w14:paraId="4AEC231A" w14:textId="77777777" w:rsidR="00AD2F6C" w:rsidRPr="007347FF" w:rsidRDefault="00AD2F6C" w:rsidP="00AD2F6C">
            <w:pPr>
              <w:jc w:val="both"/>
              <w:rPr>
                <w:b/>
                <w:bCs/>
              </w:rPr>
            </w:pPr>
            <w:r w:rsidRPr="007347FF">
              <w:t xml:space="preserve">Lai gan Informatīvā ziņojuma projektā ir norādīts, kādās jomās plānošanas reģioni realizē projektus, taču </w:t>
            </w:r>
            <w:r w:rsidRPr="007347FF">
              <w:rPr>
                <w:b/>
                <w:bCs/>
              </w:rPr>
              <w:t>nav skaidrs īstenoto projektu ieguldījums pašvaldībām (rādītāji un tiem pielīdzināmā informācija).</w:t>
            </w:r>
          </w:p>
          <w:p w14:paraId="600B7B74" w14:textId="77777777" w:rsidR="00AD2F6C" w:rsidRPr="007347FF" w:rsidRDefault="00AD2F6C" w:rsidP="00AD2F6C">
            <w:pPr>
              <w:jc w:val="both"/>
            </w:pPr>
            <w:r w:rsidRPr="007347FF">
              <w:t xml:space="preserve">Vienlaicīgi Informatīvā ziņojuma projektā </w:t>
            </w:r>
            <w:r w:rsidRPr="007347FF">
              <w:rPr>
                <w:b/>
                <w:bCs/>
              </w:rPr>
              <w:t>trūkst VARAM kā pārraugošās institūcijas secinājumu par plānošanas reģionu darbību</w:t>
            </w:r>
            <w:r w:rsidRPr="007347FF">
              <w:t>, to darbu ietekmi uz valsts attīstību caur šiem plānošanas reģioniem un kā arī trūkst konstatācijas, no kuras izrietētu VARAM ziņojumā norādītais par papildu funkciju piešķiršanas iespējām plānošanas reģioniem.</w:t>
            </w:r>
          </w:p>
          <w:p w14:paraId="338BF745" w14:textId="77777777" w:rsidR="00AD2F6C" w:rsidRPr="007347FF" w:rsidRDefault="00AD2F6C" w:rsidP="00AD2F6C">
            <w:pPr>
              <w:jc w:val="both"/>
            </w:pPr>
            <w:r w:rsidRPr="007347FF">
              <w:rPr>
                <w:b/>
                <w:bCs/>
              </w:rPr>
              <w:t>Netiek prasīts arī pašu pašvaldību viedoklis par sadarbību, plānošanas reģioniem uzticēto funkciju</w:t>
            </w:r>
            <w:r w:rsidRPr="007347FF">
              <w:t xml:space="preserve"> izpildi, kā arī par turpmāko redzējumu plānošanas reģionu </w:t>
            </w:r>
            <w:r w:rsidRPr="007347FF">
              <w:lastRenderedPageBreak/>
              <w:t>nozīmei, iespējams pat atsevišķu pakalpojumu centralizētai sniegšanai.</w:t>
            </w:r>
          </w:p>
          <w:p w14:paraId="60D46F39" w14:textId="6BBF2C97" w:rsidR="00AD2F6C" w:rsidRPr="007347FF" w:rsidRDefault="00AD2F6C" w:rsidP="00E07967">
            <w:pPr>
              <w:pStyle w:val="naisc"/>
              <w:spacing w:before="0" w:after="0"/>
              <w:ind w:firstLine="5"/>
              <w:jc w:val="both"/>
              <w:rPr>
                <w:b/>
              </w:rPr>
            </w:pPr>
            <w:r w:rsidRPr="007347FF">
              <w:t xml:space="preserve">Papildus tam, ja nozaru ministrijas deleģēs kādus uzdevumus plānošanas reģioniem, ierosinām, ka </w:t>
            </w:r>
            <w:r w:rsidRPr="007347FF">
              <w:rPr>
                <w:b/>
                <w:bCs/>
              </w:rPr>
              <w:t>jābūt arī konkrētiem aprēķiniem par cilvēkresursu un finansējuma pārdali</w:t>
            </w:r>
            <w:r w:rsidRPr="007347FF">
              <w:t xml:space="preserve"> – vai un cik cilvēki no ministrijām tiks pārcelti darbā uz plānošanas reģioniem, un kāda būs finansiālā ietekme uz valsts budžetu plānošanas reģionu funkciju paplašināšanai un stiprināšanai.</w:t>
            </w:r>
          </w:p>
        </w:tc>
        <w:tc>
          <w:tcPr>
            <w:tcW w:w="2551" w:type="dxa"/>
            <w:gridSpan w:val="2"/>
          </w:tcPr>
          <w:p w14:paraId="50BBC110" w14:textId="3E5FBC22" w:rsidR="00AD2F6C" w:rsidRPr="006E7B3F" w:rsidRDefault="00AD2F6C" w:rsidP="00AD2F6C">
            <w:pPr>
              <w:pStyle w:val="naisc"/>
              <w:spacing w:before="0" w:after="0"/>
              <w:jc w:val="both"/>
              <w:rPr>
                <w:b/>
                <w:sz w:val="22"/>
                <w:szCs w:val="22"/>
              </w:rPr>
            </w:pPr>
            <w:r w:rsidRPr="006E7B3F">
              <w:rPr>
                <w:b/>
                <w:sz w:val="22"/>
                <w:szCs w:val="22"/>
              </w:rPr>
              <w:lastRenderedPageBreak/>
              <w:t>Ņemts vērā</w:t>
            </w:r>
          </w:p>
        </w:tc>
        <w:tc>
          <w:tcPr>
            <w:tcW w:w="3650" w:type="dxa"/>
          </w:tcPr>
          <w:p w14:paraId="44FB9919" w14:textId="490EB3D7" w:rsidR="00F36C98" w:rsidRDefault="003A5E4F" w:rsidP="003A5E4F">
            <w:pPr>
              <w:jc w:val="both"/>
              <w:rPr>
                <w:sz w:val="22"/>
                <w:szCs w:val="22"/>
              </w:rPr>
            </w:pPr>
            <w:r>
              <w:rPr>
                <w:sz w:val="22"/>
                <w:szCs w:val="22"/>
              </w:rPr>
              <w:t>Plānošanas reģionu darbības rezultāti tiks atspoguļoti konceptuālajā  ziņojumā</w:t>
            </w:r>
            <w:r w:rsidRPr="006E7B3F">
              <w:rPr>
                <w:sz w:val="22"/>
                <w:szCs w:val="22"/>
              </w:rPr>
              <w:t xml:space="preserve">  par  plānošanas reģionu darbības (reģionālā pārvaldes līmeņa) uzlabošanu un kopējas statistiski teritoriālo vienību klasifikācijas (NUTS) izmaiņām, </w:t>
            </w:r>
            <w:r>
              <w:rPr>
                <w:sz w:val="22"/>
                <w:szCs w:val="22"/>
              </w:rPr>
              <w:t>padziļināti izvērtējot arī PR darbību</w:t>
            </w:r>
            <w:r w:rsidR="00F36C98">
              <w:rPr>
                <w:sz w:val="22"/>
                <w:szCs w:val="22"/>
              </w:rPr>
              <w:t xml:space="preserve"> pa to darbības jomām un </w:t>
            </w:r>
            <w:r w:rsidR="00F36C98" w:rsidRPr="00F36C98">
              <w:rPr>
                <w:sz w:val="22"/>
                <w:szCs w:val="22"/>
              </w:rPr>
              <w:t>īstenoto projektu ieguldījums pašvaldībām</w:t>
            </w:r>
            <w:r w:rsidR="00F36C98">
              <w:rPr>
                <w:sz w:val="22"/>
                <w:szCs w:val="22"/>
              </w:rPr>
              <w:t>.</w:t>
            </w:r>
          </w:p>
          <w:p w14:paraId="528F99A3" w14:textId="003EFB16" w:rsidR="00F36C98" w:rsidRDefault="00F36C98" w:rsidP="003A5E4F">
            <w:pPr>
              <w:jc w:val="both"/>
              <w:rPr>
                <w:sz w:val="22"/>
                <w:szCs w:val="22"/>
              </w:rPr>
            </w:pPr>
            <w:r>
              <w:rPr>
                <w:sz w:val="22"/>
                <w:szCs w:val="22"/>
              </w:rPr>
              <w:t>Skaidrojam, ka plānošanas reģioniem nododamās funkcijas tiks noteiktas pēc nozaru ministriju iesniegto priekšlikumu izvērtēšanas, kā arī veicot konsultācijas ar pašvaldību pārstāvošajām organizācijām.</w:t>
            </w:r>
          </w:p>
          <w:p w14:paraId="458A8344" w14:textId="7DE5962D" w:rsidR="00F36C98" w:rsidRDefault="00F36C98" w:rsidP="003A5E4F">
            <w:pPr>
              <w:jc w:val="both"/>
              <w:rPr>
                <w:sz w:val="22"/>
                <w:szCs w:val="22"/>
              </w:rPr>
            </w:pPr>
            <w:r>
              <w:rPr>
                <w:sz w:val="22"/>
                <w:szCs w:val="22"/>
              </w:rPr>
              <w:t xml:space="preserve">Vienlaikus informatīvais ziņojums par plānošanas reģionu darbību tiks skatīts plānošanas reģionu </w:t>
            </w:r>
            <w:r w:rsidR="00E07967">
              <w:rPr>
                <w:sz w:val="22"/>
                <w:szCs w:val="22"/>
              </w:rPr>
              <w:t xml:space="preserve">attīstības padomēs, </w:t>
            </w:r>
            <w:r w:rsidR="00E07967">
              <w:rPr>
                <w:sz w:val="22"/>
                <w:szCs w:val="22"/>
              </w:rPr>
              <w:lastRenderedPageBreak/>
              <w:t>ko veido katra plānošanas reģiona pašvaldību pārstāvji.</w:t>
            </w:r>
          </w:p>
          <w:p w14:paraId="4DEA571B" w14:textId="77777777" w:rsidR="00AD2F6C" w:rsidRPr="006E7B3F" w:rsidRDefault="00AD2F6C" w:rsidP="00AD2F6C">
            <w:pPr>
              <w:tabs>
                <w:tab w:val="left" w:pos="6840"/>
              </w:tabs>
              <w:jc w:val="both"/>
              <w:rPr>
                <w:sz w:val="22"/>
                <w:szCs w:val="22"/>
              </w:rPr>
            </w:pPr>
          </w:p>
        </w:tc>
      </w:tr>
      <w:tr w:rsidR="00AD2F6C" w:rsidRPr="006E7B3F" w14:paraId="1618ED6A" w14:textId="77777777" w:rsidTr="00ED12D2">
        <w:tc>
          <w:tcPr>
            <w:tcW w:w="985" w:type="dxa"/>
          </w:tcPr>
          <w:p w14:paraId="5708F5BF" w14:textId="77777777" w:rsidR="00AD2F6C" w:rsidRPr="006E7B3F" w:rsidRDefault="00AD2F6C" w:rsidP="00AD2F6C">
            <w:pPr>
              <w:pStyle w:val="naisc"/>
              <w:numPr>
                <w:ilvl w:val="0"/>
                <w:numId w:val="1"/>
              </w:numPr>
              <w:spacing w:before="0" w:after="0"/>
              <w:jc w:val="both"/>
              <w:rPr>
                <w:sz w:val="22"/>
                <w:szCs w:val="22"/>
              </w:rPr>
            </w:pPr>
          </w:p>
        </w:tc>
        <w:tc>
          <w:tcPr>
            <w:tcW w:w="3263" w:type="dxa"/>
            <w:gridSpan w:val="2"/>
          </w:tcPr>
          <w:p w14:paraId="0DC894E7" w14:textId="77777777" w:rsidR="00AD2F6C" w:rsidRDefault="00AD2F6C" w:rsidP="00AD2F6C">
            <w:pPr>
              <w:jc w:val="both"/>
              <w:rPr>
                <w:b/>
                <w:sz w:val="22"/>
                <w:szCs w:val="22"/>
              </w:rPr>
            </w:pPr>
          </w:p>
        </w:tc>
        <w:tc>
          <w:tcPr>
            <w:tcW w:w="4536" w:type="dxa"/>
          </w:tcPr>
          <w:p w14:paraId="5558BF64" w14:textId="21E692CA" w:rsidR="00AD2F6C" w:rsidRPr="007347FF" w:rsidRDefault="00AD2F6C" w:rsidP="00AD2F6C">
            <w:pPr>
              <w:pStyle w:val="naisc"/>
              <w:spacing w:before="0" w:after="0"/>
              <w:ind w:firstLine="5"/>
              <w:jc w:val="both"/>
              <w:rPr>
                <w:b/>
              </w:rPr>
            </w:pPr>
            <w:r w:rsidRPr="007347FF">
              <w:rPr>
                <w:b/>
              </w:rPr>
              <w:t xml:space="preserve">Latvijas Lielo pilsētu asociācijas 2019. gada 6.novembra atzinums, 8. iebildums. </w:t>
            </w:r>
          </w:p>
          <w:p w14:paraId="25041B22" w14:textId="2991B009" w:rsidR="00AD2F6C" w:rsidRPr="007347FF" w:rsidRDefault="00AD2F6C" w:rsidP="00AD2F6C">
            <w:pPr>
              <w:pStyle w:val="naisc"/>
              <w:spacing w:before="0" w:after="0"/>
              <w:ind w:firstLine="5"/>
              <w:jc w:val="both"/>
            </w:pPr>
            <w:r w:rsidRPr="007347FF">
              <w:t xml:space="preserve">Lūdzam Informatīvā ziņojuma projektu </w:t>
            </w:r>
            <w:r w:rsidRPr="007347FF">
              <w:rPr>
                <w:bCs/>
              </w:rPr>
              <w:t xml:space="preserve">papildināt ar plānošanas reģionu darba plānu </w:t>
            </w:r>
            <w:proofErr w:type="spellStart"/>
            <w:r w:rsidRPr="007347FF">
              <w:rPr>
                <w:bCs/>
              </w:rPr>
              <w:t>izvērtējumu</w:t>
            </w:r>
            <w:proofErr w:type="spellEnd"/>
            <w:r w:rsidRPr="007347FF">
              <w:rPr>
                <w:bCs/>
              </w:rPr>
              <w:t>.</w:t>
            </w:r>
          </w:p>
          <w:p w14:paraId="630526B3" w14:textId="77777777" w:rsidR="00AD2F6C" w:rsidRPr="007347FF" w:rsidRDefault="00AD2F6C" w:rsidP="00AD2F6C">
            <w:pPr>
              <w:pStyle w:val="naisc"/>
              <w:spacing w:before="0" w:after="0"/>
              <w:ind w:firstLine="5"/>
              <w:jc w:val="both"/>
              <w:rPr>
                <w:b/>
              </w:rPr>
            </w:pPr>
          </w:p>
        </w:tc>
        <w:tc>
          <w:tcPr>
            <w:tcW w:w="2551" w:type="dxa"/>
            <w:gridSpan w:val="2"/>
          </w:tcPr>
          <w:p w14:paraId="57AA977D" w14:textId="79C1301A" w:rsidR="00AD2F6C" w:rsidRPr="006E7B3F" w:rsidRDefault="00AD2F6C" w:rsidP="00AD2F6C">
            <w:pPr>
              <w:pStyle w:val="naisc"/>
              <w:spacing w:before="0" w:after="0"/>
              <w:jc w:val="both"/>
              <w:rPr>
                <w:b/>
                <w:sz w:val="22"/>
                <w:szCs w:val="22"/>
              </w:rPr>
            </w:pPr>
            <w:r w:rsidRPr="006E7B3F">
              <w:rPr>
                <w:b/>
                <w:sz w:val="22"/>
                <w:szCs w:val="22"/>
              </w:rPr>
              <w:t>Ņemts vērā</w:t>
            </w:r>
          </w:p>
        </w:tc>
        <w:tc>
          <w:tcPr>
            <w:tcW w:w="3650" w:type="dxa"/>
          </w:tcPr>
          <w:p w14:paraId="468276EB" w14:textId="09FD5184" w:rsidR="00AD2F6C" w:rsidRPr="006E7B3F" w:rsidRDefault="00E07967" w:rsidP="00E07967">
            <w:pPr>
              <w:jc w:val="both"/>
              <w:rPr>
                <w:sz w:val="22"/>
                <w:szCs w:val="22"/>
              </w:rPr>
            </w:pPr>
            <w:r w:rsidRPr="006E7B3F">
              <w:rPr>
                <w:sz w:val="22"/>
                <w:szCs w:val="22"/>
              </w:rPr>
              <w:t>Plānošanas reģionu darba plānu rezultatīvie rādītāji  un finanšu izlietojums tiek atspoguļoti atskaitēs  par VARAM pamatbudžeta programmu/apakšprogrammu  un pasākumu, kā arī Eiropas Savienības politiku instrumentu un pārējās ārvalstu finanšu palīdzības līdzfinansēto un finansēto projektu un pasākumu ikgadējās ceturkšņu un gada atskaitēs. Gatavojot konceptuālo  ziņojumu  par  plānošanas reģionu darbības (reģionālā pārvaldes līmeņa) uzlabošanu un kopējas statistiski teritoriālo vienību klasifikācijas (NUTS) izmaiņām, tiks padziļināti izvērtēta arī PR darbība pa to darbības jomām.</w:t>
            </w:r>
          </w:p>
        </w:tc>
      </w:tr>
      <w:tr w:rsidR="00E07967" w:rsidRPr="006E7B3F" w14:paraId="79FE19B2" w14:textId="77777777" w:rsidTr="00ED12D2">
        <w:tc>
          <w:tcPr>
            <w:tcW w:w="985" w:type="dxa"/>
          </w:tcPr>
          <w:p w14:paraId="1F8A06A3" w14:textId="77777777" w:rsidR="00E07967" w:rsidRPr="006E7B3F" w:rsidRDefault="00E07967" w:rsidP="00E07967">
            <w:pPr>
              <w:pStyle w:val="naisc"/>
              <w:numPr>
                <w:ilvl w:val="0"/>
                <w:numId w:val="1"/>
              </w:numPr>
              <w:spacing w:before="0" w:after="0"/>
              <w:jc w:val="both"/>
              <w:rPr>
                <w:sz w:val="22"/>
                <w:szCs w:val="22"/>
              </w:rPr>
            </w:pPr>
          </w:p>
        </w:tc>
        <w:tc>
          <w:tcPr>
            <w:tcW w:w="3263" w:type="dxa"/>
            <w:gridSpan w:val="2"/>
          </w:tcPr>
          <w:p w14:paraId="0D2D51D7" w14:textId="77777777" w:rsidR="00E07967" w:rsidRDefault="00E07967" w:rsidP="00E07967">
            <w:pPr>
              <w:jc w:val="both"/>
              <w:rPr>
                <w:b/>
                <w:sz w:val="22"/>
                <w:szCs w:val="22"/>
              </w:rPr>
            </w:pPr>
          </w:p>
        </w:tc>
        <w:tc>
          <w:tcPr>
            <w:tcW w:w="4536" w:type="dxa"/>
          </w:tcPr>
          <w:p w14:paraId="242CC4F1" w14:textId="6C029FB1" w:rsidR="00E07967" w:rsidRPr="007347FF" w:rsidRDefault="00E07967" w:rsidP="00E07967">
            <w:pPr>
              <w:pStyle w:val="naisc"/>
              <w:spacing w:before="0" w:after="0"/>
              <w:ind w:firstLine="5"/>
              <w:jc w:val="both"/>
              <w:rPr>
                <w:b/>
              </w:rPr>
            </w:pPr>
            <w:r w:rsidRPr="007347FF">
              <w:rPr>
                <w:b/>
              </w:rPr>
              <w:t xml:space="preserve">Latvijas Lielo pilsētu asociācijas 2019. gada 6.novembra atzinums, 9. iebildums. </w:t>
            </w:r>
          </w:p>
          <w:p w14:paraId="5FFFF1CB" w14:textId="77777777" w:rsidR="00E07967" w:rsidRPr="007347FF" w:rsidRDefault="00E07967" w:rsidP="00E07967">
            <w:pPr>
              <w:jc w:val="both"/>
            </w:pPr>
            <w:r w:rsidRPr="007347FF">
              <w:t xml:space="preserve">Saskaņā ar Autotransporta direkcijas (ATD) mājas lapā publiski pieejamo informāciju, </w:t>
            </w:r>
            <w:r w:rsidRPr="007347FF">
              <w:lastRenderedPageBreak/>
              <w:t>ATD ir vienotas valsts politikas realizētāja pasažieru un kravu pārvadājumu jomā. ATD darbība galvenokārt saistīta ar sabiedriskā transporta – pasažieru pārvadājumu ar autobusu un vilcienu – plānošanu, licenču izsniegšanu kravu un pasažieru komercpārvadājumiem un atļauju izsniegšanu starptautisko pārvadājumu veikšanai.</w:t>
            </w:r>
          </w:p>
          <w:p w14:paraId="1EA9688B" w14:textId="562CE37C" w:rsidR="00E07967" w:rsidRPr="007347FF" w:rsidRDefault="00E07967" w:rsidP="00E07967">
            <w:pPr>
              <w:pStyle w:val="naisc"/>
              <w:spacing w:before="0" w:after="0"/>
              <w:ind w:firstLine="5"/>
              <w:jc w:val="both"/>
              <w:rPr>
                <w:b/>
              </w:rPr>
            </w:pPr>
            <w:r w:rsidRPr="007347FF">
              <w:t>Ņemot vērā iepriekš minēto, lūdzam skaidrot,</w:t>
            </w:r>
            <w:r w:rsidRPr="007347FF">
              <w:rPr>
                <w:b/>
                <w:bCs/>
              </w:rPr>
              <w:t xml:space="preserve"> kādus sabiedriskā transporta organizēšanas jautājumus vēl risina plānošanas reģioni.</w:t>
            </w:r>
          </w:p>
        </w:tc>
        <w:tc>
          <w:tcPr>
            <w:tcW w:w="2551" w:type="dxa"/>
            <w:gridSpan w:val="2"/>
          </w:tcPr>
          <w:p w14:paraId="641C6241" w14:textId="3D89415F" w:rsidR="00E07967" w:rsidRPr="006E7B3F" w:rsidRDefault="00E07967" w:rsidP="00E07967">
            <w:pPr>
              <w:pStyle w:val="naisc"/>
              <w:spacing w:before="0" w:after="0"/>
              <w:jc w:val="both"/>
              <w:rPr>
                <w:b/>
                <w:sz w:val="22"/>
                <w:szCs w:val="22"/>
              </w:rPr>
            </w:pPr>
            <w:r w:rsidRPr="006E7B3F">
              <w:rPr>
                <w:b/>
                <w:sz w:val="22"/>
                <w:szCs w:val="22"/>
              </w:rPr>
              <w:lastRenderedPageBreak/>
              <w:t>Ņemts vērā</w:t>
            </w:r>
          </w:p>
        </w:tc>
        <w:tc>
          <w:tcPr>
            <w:tcW w:w="3650" w:type="dxa"/>
          </w:tcPr>
          <w:p w14:paraId="2FF23593" w14:textId="489AF475" w:rsidR="00E07967" w:rsidRPr="006E7B3F" w:rsidRDefault="00E07967" w:rsidP="00E07967">
            <w:pPr>
              <w:tabs>
                <w:tab w:val="left" w:pos="6840"/>
              </w:tabs>
              <w:jc w:val="both"/>
              <w:rPr>
                <w:sz w:val="22"/>
                <w:szCs w:val="22"/>
              </w:rPr>
            </w:pPr>
            <w:r w:rsidRPr="006E7B3F">
              <w:rPr>
                <w:sz w:val="22"/>
                <w:szCs w:val="22"/>
              </w:rPr>
              <w:t xml:space="preserve">PR pamatdarbības jomas noteiktas Reģionālās attīstības likumā, Diasporas likumā, Sabiedriskā transporta pakalpojumu likumā un Teritorijas attīstības plānošanas likumā, kā arī </w:t>
            </w:r>
            <w:r w:rsidRPr="006E7B3F">
              <w:rPr>
                <w:sz w:val="22"/>
                <w:szCs w:val="22"/>
              </w:rPr>
              <w:lastRenderedPageBreak/>
              <w:t>citos likumos un MK noteikumos. Gatavojot konceptuālo  ziņojumu  par  plānošanas reģionu darbības (reģionālā pārvaldes līmeņa) uzlabošanu un kopējas statistiski teritoriālo vienību klasifikācijas (NUTS) izmaiņām, tiks padziļināti izvērtēta arī PR darbība pa jomām.</w:t>
            </w:r>
          </w:p>
        </w:tc>
      </w:tr>
      <w:tr w:rsidR="00E07967" w:rsidRPr="006E7B3F" w14:paraId="1153D2B0" w14:textId="77777777" w:rsidTr="00ED12D2">
        <w:tc>
          <w:tcPr>
            <w:tcW w:w="985" w:type="dxa"/>
          </w:tcPr>
          <w:p w14:paraId="277685FE" w14:textId="77777777" w:rsidR="00E07967" w:rsidRPr="006E7B3F" w:rsidRDefault="00E07967" w:rsidP="00E07967">
            <w:pPr>
              <w:pStyle w:val="naisc"/>
              <w:numPr>
                <w:ilvl w:val="0"/>
                <w:numId w:val="1"/>
              </w:numPr>
              <w:spacing w:before="0" w:after="0"/>
              <w:jc w:val="both"/>
              <w:rPr>
                <w:sz w:val="22"/>
                <w:szCs w:val="22"/>
              </w:rPr>
            </w:pPr>
          </w:p>
        </w:tc>
        <w:tc>
          <w:tcPr>
            <w:tcW w:w="3263" w:type="dxa"/>
            <w:gridSpan w:val="2"/>
          </w:tcPr>
          <w:p w14:paraId="08FF3A5E" w14:textId="77777777" w:rsidR="00E07967" w:rsidRDefault="00E07967" w:rsidP="00E07967">
            <w:pPr>
              <w:jc w:val="both"/>
              <w:rPr>
                <w:b/>
                <w:sz w:val="22"/>
                <w:szCs w:val="22"/>
              </w:rPr>
            </w:pPr>
          </w:p>
        </w:tc>
        <w:tc>
          <w:tcPr>
            <w:tcW w:w="4536" w:type="dxa"/>
          </w:tcPr>
          <w:p w14:paraId="57C65DC9" w14:textId="0CE36FD6" w:rsidR="00E07967" w:rsidRPr="007347FF" w:rsidRDefault="00E07967" w:rsidP="00E07967">
            <w:pPr>
              <w:pStyle w:val="naisc"/>
              <w:spacing w:before="0" w:after="0"/>
              <w:ind w:firstLine="5"/>
              <w:jc w:val="both"/>
              <w:rPr>
                <w:b/>
              </w:rPr>
            </w:pPr>
            <w:r w:rsidRPr="007347FF">
              <w:rPr>
                <w:b/>
              </w:rPr>
              <w:t xml:space="preserve">Latvijas Lielo pilsētu asociācijas 2019. gada 6.novembra atzinums, 10. iebildums. </w:t>
            </w:r>
          </w:p>
          <w:p w14:paraId="6FBAAD8A" w14:textId="139CCDC1" w:rsidR="00E07967" w:rsidRPr="007347FF" w:rsidRDefault="00E07967" w:rsidP="00E07967">
            <w:pPr>
              <w:pStyle w:val="ListParagraph"/>
              <w:spacing w:after="0" w:line="240" w:lineRule="auto"/>
              <w:ind w:left="0"/>
              <w:jc w:val="both"/>
              <w:rPr>
                <w:rFonts w:ascii="Times New Roman" w:hAnsi="Times New Roman"/>
                <w:color w:val="000000"/>
                <w:sz w:val="24"/>
                <w:szCs w:val="24"/>
              </w:rPr>
            </w:pPr>
            <w:r w:rsidRPr="007347FF">
              <w:rPr>
                <w:rFonts w:ascii="Times New Roman" w:hAnsi="Times New Roman"/>
                <w:color w:val="000000"/>
                <w:sz w:val="24"/>
                <w:szCs w:val="24"/>
              </w:rPr>
              <w:t xml:space="preserve">Izvērtējot plānošanas reģionu finansējuma sadalījumu atbilstoši mērķiem, jāsecina, ka </w:t>
            </w:r>
            <w:r w:rsidRPr="007347FF">
              <w:rPr>
                <w:rFonts w:ascii="Times New Roman" w:hAnsi="Times New Roman"/>
                <w:color w:val="000000"/>
                <w:sz w:val="24"/>
                <w:szCs w:val="24"/>
                <w:u w:val="single"/>
              </w:rPr>
              <w:t>administratīviem izdevumiem, t.sk. atalgojumam,  tiek novirzīta lielākā daļa finansējuma.</w:t>
            </w:r>
            <w:r w:rsidRPr="007347FF">
              <w:rPr>
                <w:rFonts w:ascii="Times New Roman" w:hAnsi="Times New Roman"/>
                <w:color w:val="000000"/>
                <w:sz w:val="24"/>
                <w:szCs w:val="24"/>
              </w:rPr>
              <w:t xml:space="preserve"> Lūdzam skaidrot, k</w:t>
            </w:r>
            <w:r w:rsidRPr="007347FF">
              <w:rPr>
                <w:rFonts w:ascii="Times New Roman" w:hAnsi="Times New Roman"/>
                <w:b/>
                <w:bCs/>
                <w:color w:val="000000"/>
                <w:sz w:val="24"/>
                <w:szCs w:val="24"/>
              </w:rPr>
              <w:t>ā mainīsies šī finansējuma sadalījuma proporcija, pilnveidojot plānošanas reģionu darbību.</w:t>
            </w:r>
          </w:p>
          <w:p w14:paraId="426EDA80" w14:textId="559DAB8F" w:rsidR="00E07967" w:rsidRPr="007347FF" w:rsidRDefault="00E07967" w:rsidP="00E07967">
            <w:pPr>
              <w:pStyle w:val="naisc"/>
              <w:spacing w:before="0" w:after="0"/>
              <w:ind w:firstLine="5"/>
              <w:jc w:val="both"/>
              <w:rPr>
                <w:b/>
              </w:rPr>
            </w:pPr>
            <w:r w:rsidRPr="007347FF">
              <w:rPr>
                <w:color w:val="000000"/>
              </w:rPr>
              <w:t>Vienlaikus lūdzam  skaidrot izdevumu pozīciju “</w:t>
            </w:r>
            <w:r w:rsidRPr="007347FF">
              <w:rPr>
                <w:b/>
                <w:color w:val="000000"/>
              </w:rPr>
              <w:t>Dalība</w:t>
            </w:r>
            <w:r w:rsidRPr="007347FF">
              <w:rPr>
                <w:color w:val="000000"/>
              </w:rPr>
              <w:t xml:space="preserve"> sabiedriskā transporta </w:t>
            </w:r>
            <w:r w:rsidRPr="007347FF">
              <w:rPr>
                <w:b/>
                <w:color w:val="000000"/>
              </w:rPr>
              <w:t>pakalpojumu organizēšanā</w:t>
            </w:r>
            <w:r w:rsidRPr="007347FF">
              <w:rPr>
                <w:color w:val="000000"/>
              </w:rPr>
              <w:t>”, “</w:t>
            </w:r>
            <w:proofErr w:type="spellStart"/>
            <w:r w:rsidRPr="007347FF">
              <w:rPr>
                <w:color w:val="000000"/>
              </w:rPr>
              <w:t>Remigrācijas</w:t>
            </w:r>
            <w:proofErr w:type="spellEnd"/>
            <w:r w:rsidRPr="007347FF">
              <w:rPr>
                <w:color w:val="000000"/>
              </w:rPr>
              <w:t xml:space="preserve"> pasākumu </w:t>
            </w:r>
            <w:r w:rsidRPr="007347FF">
              <w:rPr>
                <w:b/>
                <w:color w:val="000000"/>
              </w:rPr>
              <w:t>koordinācija</w:t>
            </w:r>
            <w:r w:rsidRPr="007347FF">
              <w:rPr>
                <w:color w:val="000000"/>
              </w:rPr>
              <w:t>” saturu.</w:t>
            </w:r>
          </w:p>
        </w:tc>
        <w:tc>
          <w:tcPr>
            <w:tcW w:w="2551" w:type="dxa"/>
            <w:gridSpan w:val="2"/>
          </w:tcPr>
          <w:p w14:paraId="31C13CBD" w14:textId="035F47CA" w:rsidR="00E07967" w:rsidRPr="006E7B3F" w:rsidRDefault="00E07967" w:rsidP="00E07967">
            <w:pPr>
              <w:pStyle w:val="naisc"/>
              <w:spacing w:before="0" w:after="0"/>
              <w:jc w:val="both"/>
              <w:rPr>
                <w:b/>
                <w:sz w:val="22"/>
                <w:szCs w:val="22"/>
              </w:rPr>
            </w:pPr>
            <w:r w:rsidRPr="006E7B3F">
              <w:rPr>
                <w:b/>
                <w:sz w:val="22"/>
                <w:szCs w:val="22"/>
              </w:rPr>
              <w:t>Ņemts vērā</w:t>
            </w:r>
          </w:p>
        </w:tc>
        <w:tc>
          <w:tcPr>
            <w:tcW w:w="3650" w:type="dxa"/>
          </w:tcPr>
          <w:p w14:paraId="5D43E923" w14:textId="419ACBE9" w:rsidR="00E07967" w:rsidRPr="006E7B3F" w:rsidRDefault="00E07967" w:rsidP="00E07967">
            <w:pPr>
              <w:tabs>
                <w:tab w:val="left" w:pos="6840"/>
              </w:tabs>
              <w:jc w:val="both"/>
              <w:rPr>
                <w:sz w:val="22"/>
                <w:szCs w:val="22"/>
              </w:rPr>
            </w:pPr>
            <w:r w:rsidRPr="006E7B3F">
              <w:rPr>
                <w:sz w:val="22"/>
                <w:szCs w:val="22"/>
              </w:rPr>
              <w:t>PR pamatdarbības jomas noteiktas Reģionālās attīstības likumā, Diasporas likumā, Sabiedriskā transporta pakalpojumu likumā un Teritorijas attīstības plānošanas likumā, kā arī citos likumos un MK noteikumos. Gatavojot konceptuālo  ziņojumu  par  plānošanas reģionu darbības (reģionālā pārvaldes līmeņa) uzlabošanu un kopējas statistiski teritoriālo vienību klasifikācijas (NUTS) izmaiņām, tiks padziļināti izvērtēta arī PR darbība</w:t>
            </w:r>
            <w:r>
              <w:rPr>
                <w:sz w:val="22"/>
                <w:szCs w:val="22"/>
              </w:rPr>
              <w:t xml:space="preserve"> un finansējums</w:t>
            </w:r>
            <w:r w:rsidRPr="006E7B3F">
              <w:rPr>
                <w:sz w:val="22"/>
                <w:szCs w:val="22"/>
              </w:rPr>
              <w:t xml:space="preserve"> pa jomām.</w:t>
            </w:r>
          </w:p>
        </w:tc>
      </w:tr>
      <w:tr w:rsidR="00B10F46" w:rsidRPr="006E7B3F" w14:paraId="04958450" w14:textId="77777777" w:rsidTr="00ED12D2">
        <w:tc>
          <w:tcPr>
            <w:tcW w:w="985" w:type="dxa"/>
          </w:tcPr>
          <w:p w14:paraId="27F36045" w14:textId="77777777" w:rsidR="00B10F46" w:rsidRPr="006E7B3F" w:rsidRDefault="00B10F46" w:rsidP="00B10F46">
            <w:pPr>
              <w:pStyle w:val="naisc"/>
              <w:numPr>
                <w:ilvl w:val="0"/>
                <w:numId w:val="1"/>
              </w:numPr>
              <w:spacing w:before="0" w:after="0"/>
              <w:jc w:val="both"/>
              <w:rPr>
                <w:sz w:val="22"/>
                <w:szCs w:val="22"/>
              </w:rPr>
            </w:pPr>
          </w:p>
        </w:tc>
        <w:tc>
          <w:tcPr>
            <w:tcW w:w="3263" w:type="dxa"/>
            <w:gridSpan w:val="2"/>
          </w:tcPr>
          <w:p w14:paraId="3EC10FEF" w14:textId="77777777" w:rsidR="00B10F46" w:rsidRDefault="00B10F46" w:rsidP="00B10F46">
            <w:pPr>
              <w:jc w:val="both"/>
              <w:rPr>
                <w:b/>
                <w:sz w:val="22"/>
                <w:szCs w:val="22"/>
              </w:rPr>
            </w:pPr>
          </w:p>
        </w:tc>
        <w:tc>
          <w:tcPr>
            <w:tcW w:w="4536" w:type="dxa"/>
          </w:tcPr>
          <w:p w14:paraId="77019600" w14:textId="6032606F" w:rsidR="00B10F46" w:rsidRPr="007347FF" w:rsidRDefault="00B10F46" w:rsidP="00B10F46">
            <w:pPr>
              <w:pStyle w:val="naisc"/>
              <w:spacing w:before="0" w:after="0"/>
              <w:ind w:firstLine="5"/>
              <w:jc w:val="both"/>
              <w:rPr>
                <w:b/>
              </w:rPr>
            </w:pPr>
            <w:r w:rsidRPr="007347FF">
              <w:rPr>
                <w:b/>
              </w:rPr>
              <w:t xml:space="preserve">Latvijas Lielo pilsētu asociācijas 2019. gada 6.novembra atzinums, 11. iebildums. </w:t>
            </w:r>
          </w:p>
          <w:p w14:paraId="0F8D07A3" w14:textId="502572CC" w:rsidR="00B10F46" w:rsidRPr="00E07967" w:rsidRDefault="00B10F46" w:rsidP="00B10F46">
            <w:pPr>
              <w:pStyle w:val="ListParagraph"/>
              <w:spacing w:after="0" w:line="240" w:lineRule="auto"/>
              <w:ind w:left="0"/>
              <w:jc w:val="both"/>
              <w:rPr>
                <w:rFonts w:ascii="Times New Roman" w:hAnsi="Times New Roman"/>
                <w:color w:val="000000"/>
                <w:sz w:val="24"/>
                <w:szCs w:val="24"/>
              </w:rPr>
            </w:pPr>
            <w:r w:rsidRPr="007347FF">
              <w:rPr>
                <w:rFonts w:ascii="Times New Roman" w:hAnsi="Times New Roman"/>
                <w:bCs/>
                <w:color w:val="000000"/>
                <w:sz w:val="24"/>
                <w:szCs w:val="24"/>
              </w:rPr>
              <w:lastRenderedPageBreak/>
              <w:t>Lūdzam veikt padziļinātu</w:t>
            </w:r>
            <w:r w:rsidRPr="007347FF">
              <w:rPr>
                <w:rFonts w:ascii="Times New Roman" w:hAnsi="Times New Roman"/>
                <w:color w:val="000000"/>
                <w:sz w:val="24"/>
                <w:szCs w:val="24"/>
              </w:rPr>
              <w:t xml:space="preserve"> analīzi un norādīt argumentus par otrā līmeņa pašvaldību un plānošanas reģionu pozitīvajām un negatīvajām iezīmēm, pirms tiek pieņemts lēmums par plānošanas reģionu kā reģionālās institūcijas pārvaldes uzlabošanu.</w:t>
            </w:r>
          </w:p>
        </w:tc>
        <w:tc>
          <w:tcPr>
            <w:tcW w:w="2551" w:type="dxa"/>
            <w:gridSpan w:val="2"/>
          </w:tcPr>
          <w:p w14:paraId="306ABA74" w14:textId="7951CB0C" w:rsidR="00B10F46" w:rsidRPr="006E7B3F" w:rsidRDefault="00B10F46" w:rsidP="00B10F46">
            <w:pPr>
              <w:pStyle w:val="naisc"/>
              <w:spacing w:before="0" w:after="0"/>
              <w:jc w:val="both"/>
              <w:rPr>
                <w:b/>
                <w:sz w:val="22"/>
                <w:szCs w:val="22"/>
              </w:rPr>
            </w:pPr>
            <w:r w:rsidRPr="006E7B3F">
              <w:rPr>
                <w:b/>
                <w:sz w:val="22"/>
                <w:szCs w:val="22"/>
              </w:rPr>
              <w:lastRenderedPageBreak/>
              <w:t>Ņemts vērā</w:t>
            </w:r>
          </w:p>
        </w:tc>
        <w:tc>
          <w:tcPr>
            <w:tcW w:w="3650" w:type="dxa"/>
          </w:tcPr>
          <w:p w14:paraId="075A5861" w14:textId="77777777" w:rsidR="00B10F46" w:rsidRDefault="00B10F46" w:rsidP="00B10F46">
            <w:pPr>
              <w:tabs>
                <w:tab w:val="left" w:pos="6840"/>
              </w:tabs>
              <w:jc w:val="both"/>
              <w:rPr>
                <w:color w:val="000000"/>
                <w:sz w:val="22"/>
                <w:szCs w:val="22"/>
              </w:rPr>
            </w:pPr>
            <w:r w:rsidRPr="006E7B3F">
              <w:rPr>
                <w:color w:val="000000"/>
                <w:sz w:val="22"/>
                <w:szCs w:val="22"/>
              </w:rPr>
              <w:t xml:space="preserve">Padziļināta analīze un argumenti par otrā līmeņa pašvaldību un plānošanas reģionu pozitīvajām un negatīvajām iezīmēm tiks veikta </w:t>
            </w:r>
            <w:r w:rsidRPr="006E7B3F">
              <w:rPr>
                <w:sz w:val="22"/>
                <w:szCs w:val="22"/>
              </w:rPr>
              <w:t xml:space="preserve">gatavojot konceptuālo  ziņojumu  par  plānošanas </w:t>
            </w:r>
            <w:r w:rsidRPr="006E7B3F">
              <w:rPr>
                <w:sz w:val="22"/>
                <w:szCs w:val="22"/>
              </w:rPr>
              <w:lastRenderedPageBreak/>
              <w:t>reģionu darbības (reģionālā pārvaldes līmeņa) uzlabošanu un kopējas statistiski teritoriālo vienību klasifikācijas (NUTS) izmaiņām, tiks padziļināti izvērtēta arī PR darbība pa jomām.</w:t>
            </w:r>
            <w:r w:rsidRPr="006E7B3F">
              <w:rPr>
                <w:color w:val="000000"/>
                <w:sz w:val="22"/>
                <w:szCs w:val="22"/>
              </w:rPr>
              <w:t xml:space="preserve"> </w:t>
            </w:r>
          </w:p>
          <w:p w14:paraId="097FBD80" w14:textId="2FFD36BD" w:rsidR="00B10F46" w:rsidRPr="006E7B3F" w:rsidRDefault="00B10F46" w:rsidP="00B10F46">
            <w:pPr>
              <w:tabs>
                <w:tab w:val="left" w:pos="6840"/>
              </w:tabs>
              <w:jc w:val="both"/>
              <w:rPr>
                <w:sz w:val="22"/>
                <w:szCs w:val="22"/>
              </w:rPr>
            </w:pPr>
            <w:r w:rsidRPr="00C00885">
              <w:rPr>
                <w:sz w:val="22"/>
                <w:szCs w:val="22"/>
              </w:rPr>
              <w:t xml:space="preserve">Vienlaikus informatīvais ziņojums papildināts ar sekojošu tekstu: “sagatavojot risinājumus plānošanas reģionu darbības uzlabošanai konceptuālā  ziņojuma  par  plānošanas reģionu darbības (reģionālā pārvaldes līmeņa) uzlabošanu un kopējas statistiski teritoriālo vienību klasifikācijas (NUTS) izmaiņām ietvaros, tiks sniegts arī vērtējums par </w:t>
            </w:r>
            <w:proofErr w:type="spellStart"/>
            <w:r w:rsidRPr="00C00885">
              <w:rPr>
                <w:sz w:val="22"/>
                <w:szCs w:val="22"/>
              </w:rPr>
              <w:t>apriņķu</w:t>
            </w:r>
            <w:proofErr w:type="spellEnd"/>
            <w:r w:rsidRPr="00C00885">
              <w:rPr>
                <w:sz w:val="22"/>
                <w:szCs w:val="22"/>
              </w:rPr>
              <w:t xml:space="preserve"> (reģionālo) pašvaldību izveides nepieciešamību.”</w:t>
            </w:r>
          </w:p>
        </w:tc>
      </w:tr>
      <w:tr w:rsidR="00B10F46" w:rsidRPr="006E7B3F" w14:paraId="655EDB96" w14:textId="77777777" w:rsidTr="00ED12D2">
        <w:tc>
          <w:tcPr>
            <w:tcW w:w="985" w:type="dxa"/>
          </w:tcPr>
          <w:p w14:paraId="1C7B8A70" w14:textId="77777777" w:rsidR="00B10F46" w:rsidRPr="006E7B3F" w:rsidRDefault="00B10F46" w:rsidP="00B10F46">
            <w:pPr>
              <w:pStyle w:val="naisc"/>
              <w:numPr>
                <w:ilvl w:val="0"/>
                <w:numId w:val="1"/>
              </w:numPr>
              <w:spacing w:before="0" w:after="0"/>
              <w:jc w:val="both"/>
              <w:rPr>
                <w:sz w:val="22"/>
                <w:szCs w:val="22"/>
              </w:rPr>
            </w:pPr>
          </w:p>
        </w:tc>
        <w:tc>
          <w:tcPr>
            <w:tcW w:w="3263" w:type="dxa"/>
            <w:gridSpan w:val="2"/>
          </w:tcPr>
          <w:p w14:paraId="4A7AA7D4" w14:textId="77777777" w:rsidR="00B10F46" w:rsidRDefault="00B10F46" w:rsidP="00B10F46">
            <w:pPr>
              <w:jc w:val="both"/>
              <w:rPr>
                <w:b/>
                <w:sz w:val="22"/>
                <w:szCs w:val="22"/>
              </w:rPr>
            </w:pPr>
          </w:p>
        </w:tc>
        <w:tc>
          <w:tcPr>
            <w:tcW w:w="4536" w:type="dxa"/>
          </w:tcPr>
          <w:p w14:paraId="031AF0D3" w14:textId="6EB43FEE" w:rsidR="00B10F46" w:rsidRPr="007347FF" w:rsidRDefault="00B10F46" w:rsidP="00B10F46">
            <w:pPr>
              <w:pStyle w:val="naisc"/>
              <w:spacing w:before="0" w:after="0"/>
              <w:ind w:firstLine="5"/>
              <w:jc w:val="both"/>
              <w:rPr>
                <w:b/>
              </w:rPr>
            </w:pPr>
            <w:r w:rsidRPr="007347FF">
              <w:rPr>
                <w:b/>
              </w:rPr>
              <w:t xml:space="preserve">Latvijas Lielo pilsētu asociācijas 2019. gada 6.novembra atzinums, 12. iebildums. </w:t>
            </w:r>
          </w:p>
          <w:p w14:paraId="57A56816" w14:textId="7F96FD1D" w:rsidR="00B10F46" w:rsidRPr="00087222" w:rsidRDefault="00B10F46" w:rsidP="00B10F46">
            <w:pPr>
              <w:pStyle w:val="naisc"/>
              <w:spacing w:before="0" w:after="0"/>
              <w:ind w:firstLine="5"/>
              <w:jc w:val="both"/>
            </w:pPr>
            <w:r w:rsidRPr="00087222">
              <w:t xml:space="preserve">Aicinām </w:t>
            </w:r>
            <w:r w:rsidRPr="00087222">
              <w:rPr>
                <w:bCs/>
              </w:rPr>
              <w:t>papildināt Informatīvā ziņojuma projekta tekstu ar informāciju par jau iepriekš notikušajām sarunām ar nozaru ministrijām par funkciju deleģēšanu plānošanas reģioniem</w:t>
            </w:r>
            <w:r w:rsidRPr="00087222">
              <w:t>, iekļaujot arī analīzi par to, kāpēc iepriekšējās reizēs nozaru ministrijas nepieņēma lēmumu deleģēt funkcijas plānošanas reģioniem.</w:t>
            </w:r>
          </w:p>
          <w:p w14:paraId="5E85523F" w14:textId="77777777" w:rsidR="00B10F46" w:rsidRPr="007347FF" w:rsidRDefault="00B10F46" w:rsidP="00B10F46">
            <w:pPr>
              <w:pStyle w:val="ListParagraph"/>
              <w:spacing w:after="0" w:line="240" w:lineRule="auto"/>
              <w:ind w:left="0"/>
              <w:jc w:val="both"/>
              <w:rPr>
                <w:rFonts w:ascii="Times New Roman" w:hAnsi="Times New Roman"/>
                <w:b/>
                <w:sz w:val="24"/>
                <w:szCs w:val="24"/>
              </w:rPr>
            </w:pPr>
          </w:p>
        </w:tc>
        <w:tc>
          <w:tcPr>
            <w:tcW w:w="2551" w:type="dxa"/>
            <w:gridSpan w:val="2"/>
          </w:tcPr>
          <w:p w14:paraId="3BB119BF" w14:textId="51E7942D" w:rsidR="00B10F46" w:rsidRPr="006E7B3F" w:rsidRDefault="00B10F46" w:rsidP="00B10F46">
            <w:pPr>
              <w:pStyle w:val="naisc"/>
              <w:spacing w:before="0" w:after="0"/>
              <w:jc w:val="both"/>
              <w:rPr>
                <w:b/>
                <w:sz w:val="22"/>
                <w:szCs w:val="22"/>
              </w:rPr>
            </w:pPr>
            <w:r w:rsidRPr="006E7B3F">
              <w:rPr>
                <w:b/>
                <w:sz w:val="22"/>
                <w:szCs w:val="22"/>
              </w:rPr>
              <w:t>Ņemts vērā</w:t>
            </w:r>
          </w:p>
        </w:tc>
        <w:tc>
          <w:tcPr>
            <w:tcW w:w="3650" w:type="dxa"/>
          </w:tcPr>
          <w:p w14:paraId="14358C95" w14:textId="19A1BDB4" w:rsidR="00B10F46" w:rsidRPr="006E7B3F" w:rsidRDefault="00B10F46" w:rsidP="00B10F46">
            <w:pPr>
              <w:tabs>
                <w:tab w:val="left" w:pos="6840"/>
              </w:tabs>
              <w:jc w:val="both"/>
              <w:rPr>
                <w:sz w:val="22"/>
                <w:szCs w:val="22"/>
              </w:rPr>
            </w:pPr>
            <w:r>
              <w:rPr>
                <w:sz w:val="22"/>
                <w:szCs w:val="22"/>
              </w:rPr>
              <w:t>Informatīvais ziņojums papildināts ar sekojošu tekstu: “</w:t>
            </w:r>
            <w:r w:rsidRPr="003C0A95">
              <w:rPr>
                <w:sz w:val="22"/>
                <w:szCs w:val="22"/>
              </w:rPr>
              <w:t>Uz doto brīdi VARAM ir veikusi sarunas ar atsevišķām nozaru ministrijām par funkciju deleģēšanu plānošanas reģioniem, piemēram, sadarbībā ar Ekonomikas ministriju izvērtējot iespēju plānošanas reģionu funkcijās ietvert enerģētikas un klimata plānu izstrādi reģionam, kā arī enerģētikas mērķu izpildes monitoringu un ziņošanu. Arī turpmāk VARAM plāno sadarbībā ar plānošanas reģioniem turpināt sarunas ar nozaru ministrijām</w:t>
            </w:r>
            <w:r>
              <w:rPr>
                <w:sz w:val="22"/>
                <w:szCs w:val="22"/>
              </w:rPr>
              <w:t>”</w:t>
            </w:r>
            <w:r w:rsidRPr="003C0A95">
              <w:rPr>
                <w:sz w:val="22"/>
                <w:szCs w:val="22"/>
              </w:rPr>
              <w:t>.</w:t>
            </w:r>
            <w:r>
              <w:rPr>
                <w:sz w:val="22"/>
                <w:szCs w:val="22"/>
              </w:rPr>
              <w:t xml:space="preserve"> Tāpat informatīvā ziņojuma teksts ir papildināts ar teikumu sekojošā redakcijā: “</w:t>
            </w:r>
            <w:r>
              <w:t xml:space="preserve">MK </w:t>
            </w:r>
            <w:r>
              <w:lastRenderedPageBreak/>
              <w:t>informatīvo ziņojumu par Reģionālās attīstības likuma 25. panta otrās daļas un 26. panta izpildes organizēšanu 2014.–2015. gados izskatīja 2016.gada 5.jūlija sēdē un to nosūtīja Saeimai.”, kā arī norādīta atsauce uz minēto dokumentu.</w:t>
            </w:r>
          </w:p>
        </w:tc>
      </w:tr>
      <w:tr w:rsidR="00B10F46" w:rsidRPr="006E7B3F" w14:paraId="4BFCD74E" w14:textId="77777777" w:rsidTr="00ED12D2">
        <w:tc>
          <w:tcPr>
            <w:tcW w:w="985" w:type="dxa"/>
          </w:tcPr>
          <w:p w14:paraId="5FE51C23" w14:textId="77777777" w:rsidR="00B10F46" w:rsidRPr="006E7B3F" w:rsidRDefault="00B10F46" w:rsidP="00B10F46">
            <w:pPr>
              <w:pStyle w:val="naisc"/>
              <w:numPr>
                <w:ilvl w:val="0"/>
                <w:numId w:val="1"/>
              </w:numPr>
              <w:spacing w:before="0" w:after="0"/>
              <w:jc w:val="both"/>
              <w:rPr>
                <w:sz w:val="22"/>
                <w:szCs w:val="22"/>
              </w:rPr>
            </w:pPr>
          </w:p>
        </w:tc>
        <w:tc>
          <w:tcPr>
            <w:tcW w:w="3263" w:type="dxa"/>
            <w:gridSpan w:val="2"/>
          </w:tcPr>
          <w:p w14:paraId="73754527" w14:textId="77777777" w:rsidR="00B10F46" w:rsidRDefault="00B10F46" w:rsidP="00B10F46">
            <w:pPr>
              <w:jc w:val="both"/>
              <w:rPr>
                <w:b/>
                <w:sz w:val="22"/>
                <w:szCs w:val="22"/>
              </w:rPr>
            </w:pPr>
          </w:p>
        </w:tc>
        <w:tc>
          <w:tcPr>
            <w:tcW w:w="4536" w:type="dxa"/>
          </w:tcPr>
          <w:p w14:paraId="3DDCB5F6" w14:textId="69341DB6" w:rsidR="00B10F46" w:rsidRPr="007347FF" w:rsidRDefault="00B10F46" w:rsidP="00B10F46">
            <w:pPr>
              <w:pStyle w:val="naisc"/>
              <w:spacing w:before="0" w:after="0"/>
              <w:ind w:firstLine="5"/>
              <w:jc w:val="both"/>
              <w:rPr>
                <w:b/>
              </w:rPr>
            </w:pPr>
            <w:r w:rsidRPr="007347FF">
              <w:rPr>
                <w:b/>
              </w:rPr>
              <w:t xml:space="preserve">Latvijas Lielo pilsētu asociācijas 2019. gada 6.novembra atzinums, 13. iebildums. </w:t>
            </w:r>
          </w:p>
          <w:p w14:paraId="74EACC38" w14:textId="2029BEAA" w:rsidR="00B10F46" w:rsidRPr="007347FF" w:rsidRDefault="00B10F46" w:rsidP="00B10F46">
            <w:pPr>
              <w:pStyle w:val="naisc"/>
              <w:spacing w:before="0" w:after="0"/>
              <w:ind w:firstLine="5"/>
              <w:jc w:val="both"/>
              <w:rPr>
                <w:b/>
              </w:rPr>
            </w:pPr>
            <w:r w:rsidRPr="007347FF">
              <w:t>Papildus norādām, ka jautājumu par nepieciešamību izvērtēt iespēju veikt grozījumus pastāvošajā kopējā statistiski teritoriālās vienības klasifikācijā (NUTS), sadalot Latviju divos NUTS II reģionos – Rīga un pārējā Latvija, LLPA biedri aktualizējuši iepriekš.</w:t>
            </w:r>
          </w:p>
        </w:tc>
        <w:tc>
          <w:tcPr>
            <w:tcW w:w="2551" w:type="dxa"/>
            <w:gridSpan w:val="2"/>
          </w:tcPr>
          <w:p w14:paraId="6EA985A3" w14:textId="3C2C7643" w:rsidR="00B10F46" w:rsidRPr="006E7B3F" w:rsidRDefault="00B10F46" w:rsidP="00B10F46">
            <w:pPr>
              <w:pStyle w:val="naisc"/>
              <w:spacing w:before="0" w:after="0"/>
              <w:jc w:val="both"/>
              <w:rPr>
                <w:b/>
                <w:sz w:val="22"/>
                <w:szCs w:val="22"/>
              </w:rPr>
            </w:pPr>
            <w:r w:rsidRPr="006E7B3F">
              <w:rPr>
                <w:b/>
                <w:sz w:val="22"/>
                <w:szCs w:val="22"/>
              </w:rPr>
              <w:t>Ņemts vērā</w:t>
            </w:r>
          </w:p>
        </w:tc>
        <w:tc>
          <w:tcPr>
            <w:tcW w:w="3650" w:type="dxa"/>
          </w:tcPr>
          <w:p w14:paraId="7878C3CF" w14:textId="7C84369A" w:rsidR="00B10F46" w:rsidRPr="006E7B3F" w:rsidRDefault="00B10F46" w:rsidP="00B10F46">
            <w:pPr>
              <w:tabs>
                <w:tab w:val="left" w:pos="6840"/>
              </w:tabs>
              <w:jc w:val="both"/>
              <w:rPr>
                <w:sz w:val="22"/>
                <w:szCs w:val="22"/>
              </w:rPr>
            </w:pPr>
            <w:r w:rsidRPr="0007060D">
              <w:rPr>
                <w:sz w:val="22"/>
                <w:szCs w:val="22"/>
              </w:rPr>
              <w:t>Informatīvais ziņojums ir papildināts ar informāciju par paredzamajām izmaiņām saistībā a</w:t>
            </w:r>
            <w:r>
              <w:rPr>
                <w:sz w:val="22"/>
                <w:szCs w:val="22"/>
              </w:rPr>
              <w:t>r</w:t>
            </w:r>
            <w:r w:rsidRPr="0007060D">
              <w:rPr>
                <w:sz w:val="22"/>
                <w:szCs w:val="22"/>
              </w:rPr>
              <w:t xml:space="preserve"> kopējo statistiski teritoriālo klasifikāciju (NUTS).</w:t>
            </w:r>
          </w:p>
        </w:tc>
      </w:tr>
      <w:tr w:rsidR="00B10F46" w:rsidRPr="006E7B3F" w14:paraId="6C947D2B" w14:textId="77777777" w:rsidTr="00ED1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698" w:type="dxa"/>
        </w:trPr>
        <w:tc>
          <w:tcPr>
            <w:tcW w:w="3108" w:type="dxa"/>
            <w:gridSpan w:val="2"/>
          </w:tcPr>
          <w:p w14:paraId="077E6189" w14:textId="77777777" w:rsidR="00B10F46" w:rsidRPr="006E7B3F" w:rsidRDefault="00B10F46" w:rsidP="00B10F46">
            <w:pPr>
              <w:pStyle w:val="naiskr"/>
              <w:spacing w:before="0" w:after="0"/>
              <w:rPr>
                <w:sz w:val="22"/>
                <w:szCs w:val="22"/>
              </w:rPr>
            </w:pPr>
          </w:p>
          <w:p w14:paraId="36C7DACF" w14:textId="77777777" w:rsidR="00B10F46" w:rsidRPr="006E7B3F" w:rsidRDefault="00B10F46" w:rsidP="00B10F46">
            <w:pPr>
              <w:pStyle w:val="naiskr"/>
              <w:spacing w:before="0" w:after="0"/>
              <w:rPr>
                <w:sz w:val="22"/>
                <w:szCs w:val="22"/>
              </w:rPr>
            </w:pPr>
            <w:r w:rsidRPr="006E7B3F">
              <w:rPr>
                <w:sz w:val="22"/>
                <w:szCs w:val="22"/>
              </w:rPr>
              <w:t>Atbildīgā amatpersona</w:t>
            </w:r>
          </w:p>
        </w:tc>
        <w:tc>
          <w:tcPr>
            <w:tcW w:w="6179" w:type="dxa"/>
            <w:gridSpan w:val="3"/>
          </w:tcPr>
          <w:p w14:paraId="1670697D" w14:textId="77777777" w:rsidR="00B10F46" w:rsidRPr="006E7B3F" w:rsidRDefault="00B10F46" w:rsidP="00B10F46">
            <w:pPr>
              <w:pStyle w:val="naiskr"/>
              <w:spacing w:before="0" w:after="0"/>
              <w:ind w:firstLine="720"/>
              <w:rPr>
                <w:sz w:val="22"/>
                <w:szCs w:val="22"/>
              </w:rPr>
            </w:pPr>
          </w:p>
          <w:p w14:paraId="2F22FEC4" w14:textId="59F0D73F" w:rsidR="00B10F46" w:rsidRPr="006E7B3F" w:rsidRDefault="00B10F46" w:rsidP="00B10F46">
            <w:pPr>
              <w:pStyle w:val="naiskr"/>
              <w:spacing w:before="0" w:after="0"/>
              <w:ind w:firstLine="720"/>
              <w:rPr>
                <w:sz w:val="22"/>
                <w:szCs w:val="22"/>
              </w:rPr>
            </w:pPr>
            <w:r w:rsidRPr="006E7B3F">
              <w:rPr>
                <w:sz w:val="22"/>
                <w:szCs w:val="22"/>
              </w:rPr>
              <w:t>  Veronika Jurča</w:t>
            </w:r>
          </w:p>
        </w:tc>
      </w:tr>
      <w:tr w:rsidR="00B10F46" w:rsidRPr="006E7B3F" w14:paraId="5FF4599D" w14:textId="77777777" w:rsidTr="00ED1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698" w:type="dxa"/>
        </w:trPr>
        <w:tc>
          <w:tcPr>
            <w:tcW w:w="3108" w:type="dxa"/>
            <w:gridSpan w:val="2"/>
          </w:tcPr>
          <w:p w14:paraId="1792BDE7" w14:textId="77777777" w:rsidR="00B10F46" w:rsidRPr="006E7B3F" w:rsidRDefault="00B10F46" w:rsidP="00B10F46">
            <w:pPr>
              <w:pStyle w:val="naiskr"/>
              <w:spacing w:before="0" w:after="0"/>
              <w:ind w:firstLine="720"/>
              <w:rPr>
                <w:sz w:val="22"/>
                <w:szCs w:val="22"/>
              </w:rPr>
            </w:pPr>
          </w:p>
        </w:tc>
        <w:tc>
          <w:tcPr>
            <w:tcW w:w="6179" w:type="dxa"/>
            <w:gridSpan w:val="3"/>
            <w:tcBorders>
              <w:top w:val="single" w:sz="6" w:space="0" w:color="000000"/>
            </w:tcBorders>
          </w:tcPr>
          <w:p w14:paraId="738C1451" w14:textId="77777777" w:rsidR="00B10F46" w:rsidRPr="006E7B3F" w:rsidRDefault="00B10F46" w:rsidP="00B10F46">
            <w:pPr>
              <w:pStyle w:val="naisc"/>
              <w:spacing w:before="0" w:after="0"/>
              <w:ind w:firstLine="720"/>
              <w:rPr>
                <w:sz w:val="22"/>
                <w:szCs w:val="22"/>
              </w:rPr>
            </w:pPr>
            <w:r w:rsidRPr="006E7B3F">
              <w:rPr>
                <w:sz w:val="22"/>
                <w:szCs w:val="22"/>
              </w:rPr>
              <w:t>(paraksts*)</w:t>
            </w:r>
          </w:p>
        </w:tc>
      </w:tr>
    </w:tbl>
    <w:p w14:paraId="33DD73D4" w14:textId="06F65D11" w:rsidR="008E67D5" w:rsidRPr="006E7B3F" w:rsidRDefault="008E67D5" w:rsidP="00DE6B0B">
      <w:pPr>
        <w:pStyle w:val="naisf"/>
        <w:spacing w:before="0" w:after="0"/>
        <w:ind w:firstLine="0"/>
        <w:rPr>
          <w:sz w:val="22"/>
          <w:szCs w:val="22"/>
        </w:rPr>
      </w:pPr>
      <w:r w:rsidRPr="006E7B3F">
        <w:rPr>
          <w:sz w:val="22"/>
          <w:szCs w:val="22"/>
        </w:rPr>
        <w:t>Piezīme. * Dokumenta rekvizītu "paraksts" neaizpilda, ja elektroniskais dokuments ir sagatavots atbilstoši normatīvajiem aktiem par elektronisko dokumentu noformēšanu.</w:t>
      </w:r>
    </w:p>
    <w:p w14:paraId="51B15E23" w14:textId="3CAE0F0C" w:rsidR="008E67D5" w:rsidRPr="006E7B3F" w:rsidRDefault="00E36CC9" w:rsidP="00DE6B0B">
      <w:pPr>
        <w:jc w:val="both"/>
        <w:rPr>
          <w:sz w:val="22"/>
          <w:szCs w:val="22"/>
        </w:rPr>
      </w:pPr>
      <w:r w:rsidRPr="006E7B3F">
        <w:rPr>
          <w:sz w:val="22"/>
          <w:szCs w:val="22"/>
        </w:rPr>
        <w:t>Veronika Jurča</w:t>
      </w:r>
    </w:p>
    <w:tbl>
      <w:tblPr>
        <w:tblpPr w:leftFromText="180" w:rightFromText="180" w:vertAnchor="text" w:horzAnchor="margin" w:tblpY="86"/>
        <w:tblW w:w="0" w:type="auto"/>
        <w:tblLook w:val="00A0" w:firstRow="1" w:lastRow="0" w:firstColumn="1" w:lastColumn="0" w:noHBand="0" w:noVBand="0"/>
      </w:tblPr>
      <w:tblGrid>
        <w:gridCol w:w="9498"/>
      </w:tblGrid>
      <w:tr w:rsidR="008E67D5" w:rsidRPr="006E7B3F" w14:paraId="59609A15" w14:textId="77777777" w:rsidTr="00DE6B0B">
        <w:tc>
          <w:tcPr>
            <w:tcW w:w="9498" w:type="dxa"/>
            <w:tcBorders>
              <w:top w:val="single" w:sz="4" w:space="0" w:color="000000"/>
            </w:tcBorders>
          </w:tcPr>
          <w:p w14:paraId="1C75418E" w14:textId="77777777" w:rsidR="008E67D5" w:rsidRPr="006E7B3F" w:rsidRDefault="008E67D5" w:rsidP="00DE6B0B">
            <w:pPr>
              <w:jc w:val="center"/>
              <w:rPr>
                <w:sz w:val="22"/>
                <w:szCs w:val="22"/>
              </w:rPr>
            </w:pPr>
            <w:r w:rsidRPr="006E7B3F">
              <w:rPr>
                <w:sz w:val="22"/>
                <w:szCs w:val="22"/>
              </w:rPr>
              <w:t>(par projektu atbildīgās amatpersonas vārds un uzvārds)</w:t>
            </w:r>
          </w:p>
        </w:tc>
      </w:tr>
      <w:tr w:rsidR="008E67D5" w:rsidRPr="006E7B3F" w14:paraId="384CEC7C" w14:textId="77777777" w:rsidTr="00DE6B0B">
        <w:tc>
          <w:tcPr>
            <w:tcW w:w="9498" w:type="dxa"/>
            <w:tcBorders>
              <w:bottom w:val="single" w:sz="4" w:space="0" w:color="000000"/>
            </w:tcBorders>
          </w:tcPr>
          <w:p w14:paraId="6A040BFE" w14:textId="5461CD10" w:rsidR="008E67D5" w:rsidRPr="006E7B3F" w:rsidRDefault="00BA6DFC" w:rsidP="00DE6B0B">
            <w:pPr>
              <w:jc w:val="both"/>
              <w:rPr>
                <w:rFonts w:eastAsia="Calibri"/>
                <w:sz w:val="22"/>
                <w:szCs w:val="22"/>
              </w:rPr>
            </w:pPr>
            <w:r w:rsidRPr="006E7B3F">
              <w:rPr>
                <w:rFonts w:eastAsia="Calibri"/>
                <w:sz w:val="22"/>
                <w:szCs w:val="22"/>
              </w:rPr>
              <w:t xml:space="preserve">VARAM </w:t>
            </w:r>
            <w:r w:rsidRPr="006E7B3F">
              <w:rPr>
                <w:sz w:val="22"/>
                <w:szCs w:val="22"/>
              </w:rPr>
              <w:t xml:space="preserve"> </w:t>
            </w:r>
            <w:r w:rsidRPr="006E7B3F">
              <w:rPr>
                <w:rFonts w:eastAsia="Calibri"/>
                <w:sz w:val="22"/>
                <w:szCs w:val="22"/>
              </w:rPr>
              <w:t>Reģionālās politikas departamenta</w:t>
            </w:r>
            <w:r w:rsidRPr="006E7B3F">
              <w:rPr>
                <w:sz w:val="22"/>
                <w:szCs w:val="22"/>
              </w:rPr>
              <w:t xml:space="preserve"> </w:t>
            </w:r>
            <w:r w:rsidRPr="006E7B3F">
              <w:rPr>
                <w:rFonts w:eastAsia="Calibri"/>
                <w:sz w:val="22"/>
                <w:szCs w:val="22"/>
              </w:rPr>
              <w:t>Reģionālās attīstības plānošanas nodaļa</w:t>
            </w:r>
            <w:r w:rsidR="00E36CC9" w:rsidRPr="006E7B3F">
              <w:rPr>
                <w:rFonts w:eastAsia="Calibri"/>
                <w:sz w:val="22"/>
                <w:szCs w:val="22"/>
              </w:rPr>
              <w:t>s vecākā eksperte</w:t>
            </w:r>
          </w:p>
        </w:tc>
      </w:tr>
      <w:tr w:rsidR="008E67D5" w:rsidRPr="006E7B3F" w14:paraId="32559AB9" w14:textId="77777777" w:rsidTr="00DE6B0B">
        <w:tc>
          <w:tcPr>
            <w:tcW w:w="9498" w:type="dxa"/>
            <w:tcBorders>
              <w:top w:val="single" w:sz="4" w:space="0" w:color="000000"/>
            </w:tcBorders>
          </w:tcPr>
          <w:p w14:paraId="7A192962" w14:textId="77777777" w:rsidR="008E67D5" w:rsidRPr="006E7B3F" w:rsidRDefault="008E67D5" w:rsidP="00DE6B0B">
            <w:pPr>
              <w:jc w:val="center"/>
              <w:rPr>
                <w:sz w:val="22"/>
                <w:szCs w:val="22"/>
              </w:rPr>
            </w:pPr>
            <w:r w:rsidRPr="006E7B3F">
              <w:rPr>
                <w:sz w:val="22"/>
                <w:szCs w:val="22"/>
              </w:rPr>
              <w:t>(amats)</w:t>
            </w:r>
          </w:p>
        </w:tc>
      </w:tr>
      <w:tr w:rsidR="008E67D5" w:rsidRPr="006E7B3F" w14:paraId="1D54E5B9" w14:textId="77777777" w:rsidTr="00DE6B0B">
        <w:tc>
          <w:tcPr>
            <w:tcW w:w="9498" w:type="dxa"/>
            <w:tcBorders>
              <w:bottom w:val="single" w:sz="4" w:space="0" w:color="000000"/>
            </w:tcBorders>
          </w:tcPr>
          <w:p w14:paraId="191D8A72" w14:textId="50B68BBA" w:rsidR="008E67D5" w:rsidRPr="006E7B3F" w:rsidRDefault="008E67D5" w:rsidP="00DE6B0B">
            <w:pPr>
              <w:rPr>
                <w:sz w:val="22"/>
                <w:szCs w:val="22"/>
              </w:rPr>
            </w:pPr>
            <w:r w:rsidRPr="006E7B3F">
              <w:rPr>
                <w:sz w:val="22"/>
                <w:szCs w:val="22"/>
              </w:rPr>
              <w:t xml:space="preserve">Tālr.: </w:t>
            </w:r>
            <w:r w:rsidR="00BA6DFC" w:rsidRPr="006E7B3F">
              <w:rPr>
                <w:sz w:val="22"/>
                <w:szCs w:val="22"/>
              </w:rPr>
              <w:t xml:space="preserve"> </w:t>
            </w:r>
            <w:r w:rsidR="00E36CC9" w:rsidRPr="006E7B3F">
              <w:rPr>
                <w:sz w:val="22"/>
                <w:szCs w:val="22"/>
              </w:rPr>
              <w:t>6</w:t>
            </w:r>
            <w:r w:rsidR="00265A62" w:rsidRPr="006E7B3F">
              <w:rPr>
                <w:sz w:val="22"/>
                <w:szCs w:val="22"/>
              </w:rPr>
              <w:t>7026</w:t>
            </w:r>
            <w:r w:rsidR="00E36CC9" w:rsidRPr="006E7B3F">
              <w:rPr>
                <w:sz w:val="22"/>
                <w:szCs w:val="22"/>
              </w:rPr>
              <w:t>918</w:t>
            </w:r>
          </w:p>
        </w:tc>
      </w:tr>
      <w:tr w:rsidR="008E67D5" w:rsidRPr="006E7B3F" w14:paraId="0A0CC370" w14:textId="77777777" w:rsidTr="00DE6B0B">
        <w:tc>
          <w:tcPr>
            <w:tcW w:w="9498" w:type="dxa"/>
            <w:tcBorders>
              <w:top w:val="single" w:sz="4" w:space="0" w:color="000000"/>
            </w:tcBorders>
          </w:tcPr>
          <w:p w14:paraId="5CFDA76C" w14:textId="77777777" w:rsidR="008E67D5" w:rsidRPr="006E7B3F" w:rsidRDefault="008E67D5" w:rsidP="00DE6B0B">
            <w:pPr>
              <w:jc w:val="center"/>
              <w:rPr>
                <w:sz w:val="22"/>
                <w:szCs w:val="22"/>
              </w:rPr>
            </w:pPr>
            <w:r w:rsidRPr="006E7B3F">
              <w:rPr>
                <w:sz w:val="22"/>
                <w:szCs w:val="22"/>
              </w:rPr>
              <w:t>(tālruņa un faksa numurs)</w:t>
            </w:r>
          </w:p>
        </w:tc>
      </w:tr>
      <w:tr w:rsidR="008E67D5" w:rsidRPr="006E7B3F" w14:paraId="224FC261" w14:textId="77777777" w:rsidTr="00DE6B0B">
        <w:tc>
          <w:tcPr>
            <w:tcW w:w="9498" w:type="dxa"/>
            <w:tcBorders>
              <w:bottom w:val="single" w:sz="4" w:space="0" w:color="000000"/>
            </w:tcBorders>
          </w:tcPr>
          <w:p w14:paraId="26B25410" w14:textId="72E0EDAC" w:rsidR="008E67D5" w:rsidRPr="006E7B3F" w:rsidRDefault="00E36CC9" w:rsidP="00DE6B0B">
            <w:pPr>
              <w:rPr>
                <w:sz w:val="22"/>
                <w:szCs w:val="22"/>
              </w:rPr>
            </w:pPr>
            <w:r w:rsidRPr="006E7B3F">
              <w:rPr>
                <w:rFonts w:eastAsia="Calibri"/>
                <w:sz w:val="22"/>
                <w:szCs w:val="22"/>
              </w:rPr>
              <w:t>veronika.jurca</w:t>
            </w:r>
            <w:r w:rsidR="00BA6DFC" w:rsidRPr="006E7B3F">
              <w:rPr>
                <w:rFonts w:eastAsia="Calibri"/>
                <w:sz w:val="22"/>
                <w:szCs w:val="22"/>
              </w:rPr>
              <w:t xml:space="preserve">@varam.gov.lv </w:t>
            </w:r>
          </w:p>
        </w:tc>
      </w:tr>
      <w:tr w:rsidR="008E67D5" w:rsidRPr="006E7B3F" w14:paraId="13D36DDB" w14:textId="77777777" w:rsidTr="00DE6B0B">
        <w:tc>
          <w:tcPr>
            <w:tcW w:w="9498" w:type="dxa"/>
            <w:tcBorders>
              <w:top w:val="single" w:sz="4" w:space="0" w:color="000000"/>
            </w:tcBorders>
          </w:tcPr>
          <w:p w14:paraId="68E0D189" w14:textId="77777777" w:rsidR="008E67D5" w:rsidRPr="006E7B3F" w:rsidRDefault="008E67D5" w:rsidP="00DE6B0B">
            <w:pPr>
              <w:jc w:val="center"/>
              <w:rPr>
                <w:sz w:val="22"/>
                <w:szCs w:val="22"/>
              </w:rPr>
            </w:pPr>
            <w:r w:rsidRPr="006E7B3F">
              <w:rPr>
                <w:sz w:val="22"/>
                <w:szCs w:val="22"/>
              </w:rPr>
              <w:t>(e-pasta adrese)</w:t>
            </w:r>
          </w:p>
        </w:tc>
      </w:tr>
    </w:tbl>
    <w:p w14:paraId="312A326B" w14:textId="77777777" w:rsidR="008E67D5" w:rsidRPr="006E7B3F" w:rsidRDefault="008E67D5" w:rsidP="00DE6B0B">
      <w:pPr>
        <w:jc w:val="both"/>
        <w:rPr>
          <w:rFonts w:eastAsia="Calibri"/>
          <w:sz w:val="22"/>
          <w:szCs w:val="22"/>
        </w:rPr>
      </w:pPr>
    </w:p>
    <w:p w14:paraId="3ADCEDC4" w14:textId="77777777" w:rsidR="008E67D5" w:rsidRPr="006E7B3F" w:rsidRDefault="008E67D5" w:rsidP="00DE6B0B">
      <w:pPr>
        <w:jc w:val="both"/>
        <w:rPr>
          <w:rFonts w:eastAsia="Calibri"/>
          <w:sz w:val="22"/>
          <w:szCs w:val="22"/>
        </w:rPr>
      </w:pPr>
    </w:p>
    <w:p w14:paraId="489A4933" w14:textId="77777777" w:rsidR="008E67D5" w:rsidRPr="006E7B3F" w:rsidRDefault="008E67D5" w:rsidP="008E67D5">
      <w:pPr>
        <w:jc w:val="both"/>
        <w:rPr>
          <w:rFonts w:eastAsia="Calibri"/>
          <w:sz w:val="22"/>
          <w:szCs w:val="22"/>
        </w:rPr>
      </w:pPr>
    </w:p>
    <w:p w14:paraId="61F710ED" w14:textId="77777777" w:rsidR="008E67D5" w:rsidRPr="006E7B3F" w:rsidRDefault="008E67D5" w:rsidP="008E67D5">
      <w:pPr>
        <w:jc w:val="both"/>
        <w:rPr>
          <w:rFonts w:eastAsia="Calibri"/>
          <w:sz w:val="22"/>
          <w:szCs w:val="22"/>
        </w:rPr>
      </w:pPr>
    </w:p>
    <w:p w14:paraId="5E514769" w14:textId="77777777" w:rsidR="008E67D5" w:rsidRPr="006E7B3F" w:rsidRDefault="008E67D5" w:rsidP="008E67D5">
      <w:pPr>
        <w:jc w:val="both"/>
        <w:rPr>
          <w:rFonts w:eastAsia="Calibri"/>
          <w:sz w:val="22"/>
          <w:szCs w:val="22"/>
        </w:rPr>
      </w:pPr>
    </w:p>
    <w:p w14:paraId="6F2D75E3" w14:textId="77777777" w:rsidR="008E67D5" w:rsidRPr="006E7B3F" w:rsidRDefault="008E67D5" w:rsidP="008E67D5">
      <w:pPr>
        <w:jc w:val="both"/>
        <w:rPr>
          <w:rFonts w:eastAsia="Calibri"/>
          <w:sz w:val="22"/>
          <w:szCs w:val="22"/>
        </w:rPr>
      </w:pPr>
    </w:p>
    <w:p w14:paraId="3E107123" w14:textId="77777777" w:rsidR="008E67D5" w:rsidRPr="006E7B3F" w:rsidRDefault="008E67D5" w:rsidP="008E67D5">
      <w:pPr>
        <w:jc w:val="both"/>
        <w:rPr>
          <w:sz w:val="22"/>
          <w:szCs w:val="22"/>
          <w:u w:val="single"/>
        </w:rPr>
      </w:pPr>
    </w:p>
    <w:p w14:paraId="6FD85004" w14:textId="2F0F40B5" w:rsidR="005958CB" w:rsidRPr="006E7B3F" w:rsidRDefault="005958CB" w:rsidP="00271C26">
      <w:pPr>
        <w:tabs>
          <w:tab w:val="left" w:pos="3825"/>
        </w:tabs>
        <w:rPr>
          <w:sz w:val="22"/>
          <w:szCs w:val="22"/>
        </w:rPr>
      </w:pPr>
    </w:p>
    <w:sectPr w:rsidR="005958CB" w:rsidRPr="006E7B3F" w:rsidSect="008E67D5">
      <w:headerReference w:type="even" r:id="rId8"/>
      <w:headerReference w:type="default" r:id="rId9"/>
      <w:footerReference w:type="default" r:id="rId10"/>
      <w:footerReference w:type="first" r:id="rId11"/>
      <w:pgSz w:w="16838" w:h="11906" w:orient="landscape" w:code="9"/>
      <w:pgMar w:top="1418" w:right="678"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1B1971" w14:textId="77777777" w:rsidR="00A90300" w:rsidRDefault="00A90300" w:rsidP="00DB27D7">
      <w:r>
        <w:separator/>
      </w:r>
    </w:p>
  </w:endnote>
  <w:endnote w:type="continuationSeparator" w:id="0">
    <w:p w14:paraId="51220B64" w14:textId="77777777" w:rsidR="00A90300" w:rsidRDefault="00A90300" w:rsidP="00DB2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Helvetica Neue">
    <w:altName w:val="Arial"/>
    <w:charset w:val="00"/>
    <w:family w:val="auto"/>
    <w:pitch w:val="variable"/>
    <w:sig w:usb0="E50002FF" w:usb1="500079DB" w:usb2="0000001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398A6" w14:textId="0F38065F" w:rsidR="00E07967" w:rsidRDefault="00E07967">
    <w:pPr>
      <w:pStyle w:val="Footer"/>
      <w:rPr>
        <w:sz w:val="20"/>
        <w:szCs w:val="20"/>
      </w:rPr>
    </w:pPr>
    <w:r>
      <w:rPr>
        <w:sz w:val="20"/>
        <w:szCs w:val="20"/>
      </w:rPr>
      <w:t xml:space="preserve"> </w:t>
    </w:r>
    <w:r w:rsidR="00756EC7">
      <w:rPr>
        <w:sz w:val="20"/>
        <w:szCs w:val="20"/>
      </w:rPr>
      <w:t>VARAMizz_11</w:t>
    </w:r>
    <w:r>
      <w:rPr>
        <w:sz w:val="20"/>
        <w:szCs w:val="20"/>
      </w:rPr>
      <w:t>11</w:t>
    </w:r>
    <w:r w:rsidRPr="002A0758">
      <w:rPr>
        <w:sz w:val="20"/>
        <w:szCs w:val="20"/>
      </w:rPr>
      <w:t>19_</w:t>
    </w:r>
    <w:r>
      <w:rPr>
        <w:sz w:val="20"/>
        <w:szCs w:val="20"/>
      </w:rPr>
      <w:t>inform_zin_PR_1040</w:t>
    </w:r>
  </w:p>
  <w:p w14:paraId="3F5D87A6" w14:textId="77777777" w:rsidR="00E07967" w:rsidRDefault="00E07967">
    <w:pPr>
      <w:pStyle w:val="Footer"/>
      <w:rPr>
        <w:sz w:val="20"/>
        <w:szCs w:val="20"/>
      </w:rPr>
    </w:pPr>
  </w:p>
  <w:p w14:paraId="382BF910" w14:textId="77777777" w:rsidR="00E07967" w:rsidRDefault="00E079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5E639" w14:textId="5A4D1E3C" w:rsidR="00E07967" w:rsidRDefault="00E07967" w:rsidP="008E67D5">
    <w:pPr>
      <w:pStyle w:val="Footer"/>
      <w:rPr>
        <w:sz w:val="20"/>
        <w:szCs w:val="20"/>
      </w:rPr>
    </w:pPr>
    <w:r>
      <w:rPr>
        <w:sz w:val="20"/>
        <w:szCs w:val="20"/>
      </w:rPr>
      <w:t xml:space="preserve"> </w:t>
    </w:r>
    <w:r w:rsidR="00A574AA">
      <w:rPr>
        <w:sz w:val="20"/>
        <w:szCs w:val="20"/>
      </w:rPr>
      <w:t>VARAMizz_11</w:t>
    </w:r>
    <w:r>
      <w:rPr>
        <w:sz w:val="20"/>
        <w:szCs w:val="20"/>
      </w:rPr>
      <w:t>11</w:t>
    </w:r>
    <w:r w:rsidRPr="002A0758">
      <w:rPr>
        <w:sz w:val="20"/>
        <w:szCs w:val="20"/>
      </w:rPr>
      <w:t>19_</w:t>
    </w:r>
    <w:r>
      <w:rPr>
        <w:sz w:val="20"/>
        <w:szCs w:val="20"/>
      </w:rPr>
      <w:t>inform_zin_PR_1040</w:t>
    </w:r>
  </w:p>
  <w:p w14:paraId="7C9F8E01" w14:textId="77777777" w:rsidR="00E07967" w:rsidRPr="00500345" w:rsidRDefault="00E07967" w:rsidP="008E67D5">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7ACCA" w14:textId="77777777" w:rsidR="00A90300" w:rsidRDefault="00A90300" w:rsidP="00DB27D7">
      <w:r>
        <w:separator/>
      </w:r>
    </w:p>
  </w:footnote>
  <w:footnote w:type="continuationSeparator" w:id="0">
    <w:p w14:paraId="6CA9F8EE" w14:textId="77777777" w:rsidR="00A90300" w:rsidRDefault="00A90300" w:rsidP="00DB27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45A0C" w14:textId="77777777" w:rsidR="00E07967" w:rsidRDefault="00E07967" w:rsidP="008E67D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1F60AA" w14:textId="77777777" w:rsidR="00E07967" w:rsidRDefault="00E079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03191" w14:textId="77777777" w:rsidR="00E07967" w:rsidRDefault="00E07967" w:rsidP="008E67D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A0037">
      <w:rPr>
        <w:rStyle w:val="PageNumber"/>
        <w:noProof/>
      </w:rPr>
      <w:t>21</w:t>
    </w:r>
    <w:r>
      <w:rPr>
        <w:rStyle w:val="PageNumber"/>
      </w:rPr>
      <w:fldChar w:fldCharType="end"/>
    </w:r>
  </w:p>
  <w:p w14:paraId="196A3383" w14:textId="77777777" w:rsidR="00E07967" w:rsidRDefault="00E079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D06A2"/>
    <w:multiLevelType w:val="hybridMultilevel"/>
    <w:tmpl w:val="DD2A43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3718E9"/>
    <w:multiLevelType w:val="hybridMultilevel"/>
    <w:tmpl w:val="D13A5E5C"/>
    <w:lvl w:ilvl="0" w:tplc="48848036">
      <w:start w:val="139"/>
      <w:numFmt w:val="decimal"/>
      <w:lvlText w:val="%1."/>
      <w:lvlJc w:val="left"/>
      <w:pPr>
        <w:ind w:left="615"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6EE00F1"/>
    <w:multiLevelType w:val="hybridMultilevel"/>
    <w:tmpl w:val="B0EA8C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AEC2579"/>
    <w:multiLevelType w:val="hybridMultilevel"/>
    <w:tmpl w:val="7FA69708"/>
    <w:lvl w:ilvl="0" w:tplc="9330085E">
      <w:start w:val="1"/>
      <w:numFmt w:val="decimal"/>
      <w:lvlText w:val="%1)"/>
      <w:lvlJc w:val="left"/>
      <w:pPr>
        <w:ind w:left="1500" w:hanging="360"/>
      </w:pPr>
      <w:rPr>
        <w:rFonts w:ascii="Times New Roman" w:eastAsiaTheme="minorHAnsi" w:hAnsi="Times New Roman" w:cs="Times New Roman"/>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4" w15:restartNumberingAfterBreak="0">
    <w:nsid w:val="0C3B56CE"/>
    <w:multiLevelType w:val="hybridMultilevel"/>
    <w:tmpl w:val="A490929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35260F6"/>
    <w:multiLevelType w:val="hybridMultilevel"/>
    <w:tmpl w:val="27D8EDE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B4F5181"/>
    <w:multiLevelType w:val="hybridMultilevel"/>
    <w:tmpl w:val="DD2A43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4253B5"/>
    <w:multiLevelType w:val="hybridMultilevel"/>
    <w:tmpl w:val="2F02CA1E"/>
    <w:lvl w:ilvl="0" w:tplc="CC94D970">
      <w:start w:val="132"/>
      <w:numFmt w:val="decimal"/>
      <w:lvlText w:val="%1."/>
      <w:lvlJc w:val="left"/>
      <w:pPr>
        <w:ind w:left="615"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FB7795A"/>
    <w:multiLevelType w:val="hybridMultilevel"/>
    <w:tmpl w:val="9214788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42F52E5"/>
    <w:multiLevelType w:val="hybridMultilevel"/>
    <w:tmpl w:val="1D468114"/>
    <w:lvl w:ilvl="0" w:tplc="39B08BE4">
      <w:start w:val="1"/>
      <w:numFmt w:val="decimal"/>
      <w:lvlText w:val="%1."/>
      <w:lvlJc w:val="left"/>
      <w:pPr>
        <w:ind w:left="1210" w:hanging="360"/>
      </w:pPr>
      <w:rPr>
        <w:rFonts w:ascii="Times New Roman" w:eastAsia="Times New Roman" w:hAnsi="Times New Roman" w:cs="Times New Roman"/>
      </w:rPr>
    </w:lvl>
    <w:lvl w:ilvl="1" w:tplc="04260003">
      <w:start w:val="1"/>
      <w:numFmt w:val="bullet"/>
      <w:lvlText w:val="o"/>
      <w:lvlJc w:val="left"/>
      <w:pPr>
        <w:ind w:left="1930" w:hanging="360"/>
      </w:pPr>
      <w:rPr>
        <w:rFonts w:ascii="Courier New" w:hAnsi="Courier New" w:cs="Courier New" w:hint="default"/>
      </w:rPr>
    </w:lvl>
    <w:lvl w:ilvl="2" w:tplc="04260005">
      <w:start w:val="1"/>
      <w:numFmt w:val="bullet"/>
      <w:lvlText w:val=""/>
      <w:lvlJc w:val="left"/>
      <w:pPr>
        <w:ind w:left="2650" w:hanging="360"/>
      </w:pPr>
      <w:rPr>
        <w:rFonts w:ascii="Wingdings" w:hAnsi="Wingdings" w:hint="default"/>
      </w:rPr>
    </w:lvl>
    <w:lvl w:ilvl="3" w:tplc="04260001">
      <w:start w:val="1"/>
      <w:numFmt w:val="bullet"/>
      <w:lvlText w:val=""/>
      <w:lvlJc w:val="left"/>
      <w:pPr>
        <w:ind w:left="3370" w:hanging="360"/>
      </w:pPr>
      <w:rPr>
        <w:rFonts w:ascii="Symbol" w:hAnsi="Symbol" w:hint="default"/>
      </w:rPr>
    </w:lvl>
    <w:lvl w:ilvl="4" w:tplc="04260003">
      <w:start w:val="1"/>
      <w:numFmt w:val="bullet"/>
      <w:lvlText w:val="o"/>
      <w:lvlJc w:val="left"/>
      <w:pPr>
        <w:ind w:left="4090" w:hanging="360"/>
      </w:pPr>
      <w:rPr>
        <w:rFonts w:ascii="Courier New" w:hAnsi="Courier New" w:cs="Courier New" w:hint="default"/>
      </w:rPr>
    </w:lvl>
    <w:lvl w:ilvl="5" w:tplc="04260005">
      <w:start w:val="1"/>
      <w:numFmt w:val="bullet"/>
      <w:lvlText w:val=""/>
      <w:lvlJc w:val="left"/>
      <w:pPr>
        <w:ind w:left="4810" w:hanging="360"/>
      </w:pPr>
      <w:rPr>
        <w:rFonts w:ascii="Wingdings" w:hAnsi="Wingdings" w:hint="default"/>
      </w:rPr>
    </w:lvl>
    <w:lvl w:ilvl="6" w:tplc="04260001">
      <w:start w:val="1"/>
      <w:numFmt w:val="bullet"/>
      <w:lvlText w:val=""/>
      <w:lvlJc w:val="left"/>
      <w:pPr>
        <w:ind w:left="5530" w:hanging="360"/>
      </w:pPr>
      <w:rPr>
        <w:rFonts w:ascii="Symbol" w:hAnsi="Symbol" w:hint="default"/>
      </w:rPr>
    </w:lvl>
    <w:lvl w:ilvl="7" w:tplc="04260003">
      <w:start w:val="1"/>
      <w:numFmt w:val="bullet"/>
      <w:lvlText w:val="o"/>
      <w:lvlJc w:val="left"/>
      <w:pPr>
        <w:ind w:left="6250" w:hanging="360"/>
      </w:pPr>
      <w:rPr>
        <w:rFonts w:ascii="Courier New" w:hAnsi="Courier New" w:cs="Courier New" w:hint="default"/>
      </w:rPr>
    </w:lvl>
    <w:lvl w:ilvl="8" w:tplc="04260005">
      <w:start w:val="1"/>
      <w:numFmt w:val="bullet"/>
      <w:lvlText w:val=""/>
      <w:lvlJc w:val="left"/>
      <w:pPr>
        <w:ind w:left="6970" w:hanging="360"/>
      </w:pPr>
      <w:rPr>
        <w:rFonts w:ascii="Wingdings" w:hAnsi="Wingdings" w:hint="default"/>
      </w:rPr>
    </w:lvl>
  </w:abstractNum>
  <w:abstractNum w:abstractNumId="10" w15:restartNumberingAfterBreak="0">
    <w:nsid w:val="25211E30"/>
    <w:multiLevelType w:val="multilevel"/>
    <w:tmpl w:val="43AEEDE0"/>
    <w:lvl w:ilvl="0">
      <w:start w:val="1"/>
      <w:numFmt w:val="decimal"/>
      <w:lvlText w:val="%1."/>
      <w:lvlJc w:val="left"/>
      <w:pPr>
        <w:ind w:left="720" w:hanging="360"/>
      </w:pPr>
    </w:lvl>
    <w:lvl w:ilvl="1">
      <w:start w:val="1"/>
      <w:numFmt w:val="decimal"/>
      <w:isLgl/>
      <w:lvlText w:val="%1.%2."/>
      <w:lvlJc w:val="left"/>
      <w:pPr>
        <w:ind w:left="1146" w:hanging="72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1" w15:restartNumberingAfterBreak="0">
    <w:nsid w:val="27372013"/>
    <w:multiLevelType w:val="hybridMultilevel"/>
    <w:tmpl w:val="B0EA8C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97B1F92"/>
    <w:multiLevelType w:val="hybridMultilevel"/>
    <w:tmpl w:val="9438C108"/>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3" w15:restartNumberingAfterBreak="0">
    <w:nsid w:val="299F6C5D"/>
    <w:multiLevelType w:val="hybridMultilevel"/>
    <w:tmpl w:val="DF3EED18"/>
    <w:lvl w:ilvl="0" w:tplc="710AF9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349731B0"/>
    <w:multiLevelType w:val="hybridMultilevel"/>
    <w:tmpl w:val="FA6EFFC0"/>
    <w:lvl w:ilvl="0" w:tplc="3958373C">
      <w:start w:val="121"/>
      <w:numFmt w:val="decimal"/>
      <w:lvlText w:val="%1."/>
      <w:lvlJc w:val="left"/>
      <w:pPr>
        <w:ind w:left="615"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B6A07FC"/>
    <w:multiLevelType w:val="hybridMultilevel"/>
    <w:tmpl w:val="7FA69708"/>
    <w:lvl w:ilvl="0" w:tplc="9330085E">
      <w:start w:val="1"/>
      <w:numFmt w:val="decimal"/>
      <w:lvlText w:val="%1)"/>
      <w:lvlJc w:val="left"/>
      <w:pPr>
        <w:ind w:left="1500" w:hanging="360"/>
      </w:pPr>
      <w:rPr>
        <w:rFonts w:ascii="Times New Roman" w:eastAsiaTheme="minorHAnsi" w:hAnsi="Times New Roman" w:cs="Times New Roman"/>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6" w15:restartNumberingAfterBreak="0">
    <w:nsid w:val="45451CB1"/>
    <w:multiLevelType w:val="hybridMultilevel"/>
    <w:tmpl w:val="216813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8B458D9"/>
    <w:multiLevelType w:val="multilevel"/>
    <w:tmpl w:val="65DC022A"/>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9D3571A"/>
    <w:multiLevelType w:val="hybridMultilevel"/>
    <w:tmpl w:val="2E409E9A"/>
    <w:lvl w:ilvl="0" w:tplc="0426000F">
      <w:start w:val="1"/>
      <w:numFmt w:val="decimal"/>
      <w:lvlText w:val="%1."/>
      <w:lvlJc w:val="left"/>
      <w:pPr>
        <w:ind w:left="615"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7B1652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B1F02B1"/>
    <w:multiLevelType w:val="multilevel"/>
    <w:tmpl w:val="9D3C931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b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1" w15:restartNumberingAfterBreak="0">
    <w:nsid w:val="631739CD"/>
    <w:multiLevelType w:val="hybridMultilevel"/>
    <w:tmpl w:val="36D0502E"/>
    <w:lvl w:ilvl="0" w:tplc="55A4FA96">
      <w:start w:val="1"/>
      <w:numFmt w:val="decimal"/>
      <w:lvlText w:val="%1."/>
      <w:lvlJc w:val="left"/>
      <w:pPr>
        <w:ind w:left="1485" w:hanging="360"/>
      </w:pPr>
      <w:rPr>
        <w:rFonts w:ascii="Times New Roman" w:eastAsia="Times New Roman" w:hAnsi="Times New Roman" w:cs="Times New Roman"/>
      </w:rPr>
    </w:lvl>
    <w:lvl w:ilvl="1" w:tplc="04260019">
      <w:start w:val="1"/>
      <w:numFmt w:val="lowerLetter"/>
      <w:lvlText w:val="%2."/>
      <w:lvlJc w:val="left"/>
      <w:pPr>
        <w:ind w:left="2205" w:hanging="360"/>
      </w:pPr>
    </w:lvl>
    <w:lvl w:ilvl="2" w:tplc="0426001B">
      <w:start w:val="1"/>
      <w:numFmt w:val="lowerRoman"/>
      <w:lvlText w:val="%3."/>
      <w:lvlJc w:val="right"/>
      <w:pPr>
        <w:ind w:left="2925" w:hanging="180"/>
      </w:pPr>
    </w:lvl>
    <w:lvl w:ilvl="3" w:tplc="0426000F">
      <w:start w:val="1"/>
      <w:numFmt w:val="decimal"/>
      <w:lvlText w:val="%4."/>
      <w:lvlJc w:val="left"/>
      <w:pPr>
        <w:ind w:left="3645" w:hanging="360"/>
      </w:pPr>
    </w:lvl>
    <w:lvl w:ilvl="4" w:tplc="04260019">
      <w:start w:val="1"/>
      <w:numFmt w:val="lowerLetter"/>
      <w:lvlText w:val="%5."/>
      <w:lvlJc w:val="left"/>
      <w:pPr>
        <w:ind w:left="4365" w:hanging="360"/>
      </w:pPr>
    </w:lvl>
    <w:lvl w:ilvl="5" w:tplc="0426001B">
      <w:start w:val="1"/>
      <w:numFmt w:val="lowerRoman"/>
      <w:lvlText w:val="%6."/>
      <w:lvlJc w:val="right"/>
      <w:pPr>
        <w:ind w:left="5085" w:hanging="180"/>
      </w:pPr>
    </w:lvl>
    <w:lvl w:ilvl="6" w:tplc="0426000F">
      <w:start w:val="1"/>
      <w:numFmt w:val="decimal"/>
      <w:lvlText w:val="%7."/>
      <w:lvlJc w:val="left"/>
      <w:pPr>
        <w:ind w:left="5805" w:hanging="360"/>
      </w:pPr>
    </w:lvl>
    <w:lvl w:ilvl="7" w:tplc="04260019">
      <w:start w:val="1"/>
      <w:numFmt w:val="lowerLetter"/>
      <w:lvlText w:val="%8."/>
      <w:lvlJc w:val="left"/>
      <w:pPr>
        <w:ind w:left="6525" w:hanging="360"/>
      </w:pPr>
    </w:lvl>
    <w:lvl w:ilvl="8" w:tplc="0426001B">
      <w:start w:val="1"/>
      <w:numFmt w:val="lowerRoman"/>
      <w:lvlText w:val="%9."/>
      <w:lvlJc w:val="right"/>
      <w:pPr>
        <w:ind w:left="7245" w:hanging="180"/>
      </w:pPr>
    </w:lvl>
  </w:abstractNum>
  <w:abstractNum w:abstractNumId="22" w15:restartNumberingAfterBreak="0">
    <w:nsid w:val="63396026"/>
    <w:multiLevelType w:val="hybridMultilevel"/>
    <w:tmpl w:val="B0EA8C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6D4258C"/>
    <w:multiLevelType w:val="hybridMultilevel"/>
    <w:tmpl w:val="A6DCDD84"/>
    <w:lvl w:ilvl="0" w:tplc="01F0ACE0">
      <w:start w:val="31"/>
      <w:numFmt w:val="bullet"/>
      <w:lvlText w:val="-"/>
      <w:lvlJc w:val="left"/>
      <w:pPr>
        <w:ind w:left="1074" w:hanging="360"/>
      </w:pPr>
      <w:rPr>
        <w:rFonts w:ascii="Times New Roman" w:eastAsia="Calibri" w:hAnsi="Times New Roman" w:cs="Times New Roman" w:hint="default"/>
      </w:rPr>
    </w:lvl>
    <w:lvl w:ilvl="1" w:tplc="04260003" w:tentative="1">
      <w:start w:val="1"/>
      <w:numFmt w:val="bullet"/>
      <w:lvlText w:val="o"/>
      <w:lvlJc w:val="left"/>
      <w:pPr>
        <w:ind w:left="1794" w:hanging="360"/>
      </w:pPr>
      <w:rPr>
        <w:rFonts w:ascii="Courier New" w:hAnsi="Courier New" w:cs="Courier New" w:hint="default"/>
      </w:rPr>
    </w:lvl>
    <w:lvl w:ilvl="2" w:tplc="04260005" w:tentative="1">
      <w:start w:val="1"/>
      <w:numFmt w:val="bullet"/>
      <w:lvlText w:val=""/>
      <w:lvlJc w:val="left"/>
      <w:pPr>
        <w:ind w:left="2514" w:hanging="360"/>
      </w:pPr>
      <w:rPr>
        <w:rFonts w:ascii="Wingdings" w:hAnsi="Wingdings" w:hint="default"/>
      </w:rPr>
    </w:lvl>
    <w:lvl w:ilvl="3" w:tplc="04260001" w:tentative="1">
      <w:start w:val="1"/>
      <w:numFmt w:val="bullet"/>
      <w:lvlText w:val=""/>
      <w:lvlJc w:val="left"/>
      <w:pPr>
        <w:ind w:left="3234" w:hanging="360"/>
      </w:pPr>
      <w:rPr>
        <w:rFonts w:ascii="Symbol" w:hAnsi="Symbol" w:hint="default"/>
      </w:rPr>
    </w:lvl>
    <w:lvl w:ilvl="4" w:tplc="04260003" w:tentative="1">
      <w:start w:val="1"/>
      <w:numFmt w:val="bullet"/>
      <w:lvlText w:val="o"/>
      <w:lvlJc w:val="left"/>
      <w:pPr>
        <w:ind w:left="3954" w:hanging="360"/>
      </w:pPr>
      <w:rPr>
        <w:rFonts w:ascii="Courier New" w:hAnsi="Courier New" w:cs="Courier New" w:hint="default"/>
      </w:rPr>
    </w:lvl>
    <w:lvl w:ilvl="5" w:tplc="04260005" w:tentative="1">
      <w:start w:val="1"/>
      <w:numFmt w:val="bullet"/>
      <w:lvlText w:val=""/>
      <w:lvlJc w:val="left"/>
      <w:pPr>
        <w:ind w:left="4674" w:hanging="360"/>
      </w:pPr>
      <w:rPr>
        <w:rFonts w:ascii="Wingdings" w:hAnsi="Wingdings" w:hint="default"/>
      </w:rPr>
    </w:lvl>
    <w:lvl w:ilvl="6" w:tplc="04260001" w:tentative="1">
      <w:start w:val="1"/>
      <w:numFmt w:val="bullet"/>
      <w:lvlText w:val=""/>
      <w:lvlJc w:val="left"/>
      <w:pPr>
        <w:ind w:left="5394" w:hanging="360"/>
      </w:pPr>
      <w:rPr>
        <w:rFonts w:ascii="Symbol" w:hAnsi="Symbol" w:hint="default"/>
      </w:rPr>
    </w:lvl>
    <w:lvl w:ilvl="7" w:tplc="04260003" w:tentative="1">
      <w:start w:val="1"/>
      <w:numFmt w:val="bullet"/>
      <w:lvlText w:val="o"/>
      <w:lvlJc w:val="left"/>
      <w:pPr>
        <w:ind w:left="6114" w:hanging="360"/>
      </w:pPr>
      <w:rPr>
        <w:rFonts w:ascii="Courier New" w:hAnsi="Courier New" w:cs="Courier New" w:hint="default"/>
      </w:rPr>
    </w:lvl>
    <w:lvl w:ilvl="8" w:tplc="04260005" w:tentative="1">
      <w:start w:val="1"/>
      <w:numFmt w:val="bullet"/>
      <w:lvlText w:val=""/>
      <w:lvlJc w:val="left"/>
      <w:pPr>
        <w:ind w:left="6834" w:hanging="360"/>
      </w:pPr>
      <w:rPr>
        <w:rFonts w:ascii="Wingdings" w:hAnsi="Wingdings" w:hint="default"/>
      </w:rPr>
    </w:lvl>
  </w:abstractNum>
  <w:abstractNum w:abstractNumId="24" w15:restartNumberingAfterBreak="0">
    <w:nsid w:val="67295F12"/>
    <w:multiLevelType w:val="hybridMultilevel"/>
    <w:tmpl w:val="6DAA8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1797E88"/>
    <w:multiLevelType w:val="hybridMultilevel"/>
    <w:tmpl w:val="A4805582"/>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5562987"/>
    <w:multiLevelType w:val="hybridMultilevel"/>
    <w:tmpl w:val="1D468114"/>
    <w:lvl w:ilvl="0" w:tplc="39B08BE4">
      <w:start w:val="1"/>
      <w:numFmt w:val="decimal"/>
      <w:lvlText w:val="%1."/>
      <w:lvlJc w:val="left"/>
      <w:pPr>
        <w:ind w:left="1210" w:hanging="360"/>
      </w:pPr>
      <w:rPr>
        <w:rFonts w:ascii="Times New Roman" w:eastAsia="Times New Roman" w:hAnsi="Times New Roman" w:cs="Times New Roman"/>
      </w:rPr>
    </w:lvl>
    <w:lvl w:ilvl="1" w:tplc="04260003">
      <w:start w:val="1"/>
      <w:numFmt w:val="bullet"/>
      <w:lvlText w:val="o"/>
      <w:lvlJc w:val="left"/>
      <w:pPr>
        <w:ind w:left="1930" w:hanging="360"/>
      </w:pPr>
      <w:rPr>
        <w:rFonts w:ascii="Courier New" w:hAnsi="Courier New" w:cs="Courier New" w:hint="default"/>
      </w:rPr>
    </w:lvl>
    <w:lvl w:ilvl="2" w:tplc="04260005">
      <w:start w:val="1"/>
      <w:numFmt w:val="bullet"/>
      <w:lvlText w:val=""/>
      <w:lvlJc w:val="left"/>
      <w:pPr>
        <w:ind w:left="2650" w:hanging="360"/>
      </w:pPr>
      <w:rPr>
        <w:rFonts w:ascii="Wingdings" w:hAnsi="Wingdings" w:hint="default"/>
      </w:rPr>
    </w:lvl>
    <w:lvl w:ilvl="3" w:tplc="04260001">
      <w:start w:val="1"/>
      <w:numFmt w:val="bullet"/>
      <w:lvlText w:val=""/>
      <w:lvlJc w:val="left"/>
      <w:pPr>
        <w:ind w:left="3370" w:hanging="360"/>
      </w:pPr>
      <w:rPr>
        <w:rFonts w:ascii="Symbol" w:hAnsi="Symbol" w:hint="default"/>
      </w:rPr>
    </w:lvl>
    <w:lvl w:ilvl="4" w:tplc="04260003">
      <w:start w:val="1"/>
      <w:numFmt w:val="bullet"/>
      <w:lvlText w:val="o"/>
      <w:lvlJc w:val="left"/>
      <w:pPr>
        <w:ind w:left="4090" w:hanging="360"/>
      </w:pPr>
      <w:rPr>
        <w:rFonts w:ascii="Courier New" w:hAnsi="Courier New" w:cs="Courier New" w:hint="default"/>
      </w:rPr>
    </w:lvl>
    <w:lvl w:ilvl="5" w:tplc="04260005">
      <w:start w:val="1"/>
      <w:numFmt w:val="bullet"/>
      <w:lvlText w:val=""/>
      <w:lvlJc w:val="left"/>
      <w:pPr>
        <w:ind w:left="4810" w:hanging="360"/>
      </w:pPr>
      <w:rPr>
        <w:rFonts w:ascii="Wingdings" w:hAnsi="Wingdings" w:hint="default"/>
      </w:rPr>
    </w:lvl>
    <w:lvl w:ilvl="6" w:tplc="04260001">
      <w:start w:val="1"/>
      <w:numFmt w:val="bullet"/>
      <w:lvlText w:val=""/>
      <w:lvlJc w:val="left"/>
      <w:pPr>
        <w:ind w:left="5530" w:hanging="360"/>
      </w:pPr>
      <w:rPr>
        <w:rFonts w:ascii="Symbol" w:hAnsi="Symbol" w:hint="default"/>
      </w:rPr>
    </w:lvl>
    <w:lvl w:ilvl="7" w:tplc="04260003">
      <w:start w:val="1"/>
      <w:numFmt w:val="bullet"/>
      <w:lvlText w:val="o"/>
      <w:lvlJc w:val="left"/>
      <w:pPr>
        <w:ind w:left="6250" w:hanging="360"/>
      </w:pPr>
      <w:rPr>
        <w:rFonts w:ascii="Courier New" w:hAnsi="Courier New" w:cs="Courier New" w:hint="default"/>
      </w:rPr>
    </w:lvl>
    <w:lvl w:ilvl="8" w:tplc="04260005">
      <w:start w:val="1"/>
      <w:numFmt w:val="bullet"/>
      <w:lvlText w:val=""/>
      <w:lvlJc w:val="left"/>
      <w:pPr>
        <w:ind w:left="6970" w:hanging="360"/>
      </w:pPr>
      <w:rPr>
        <w:rFonts w:ascii="Wingdings" w:hAnsi="Wingdings" w:hint="default"/>
      </w:rPr>
    </w:lvl>
  </w:abstractNum>
  <w:abstractNum w:abstractNumId="27" w15:restartNumberingAfterBreak="0">
    <w:nsid w:val="79092830"/>
    <w:multiLevelType w:val="multilevel"/>
    <w:tmpl w:val="43AEEDE0"/>
    <w:lvl w:ilvl="0">
      <w:start w:val="1"/>
      <w:numFmt w:val="decimal"/>
      <w:lvlText w:val="%1."/>
      <w:lvlJc w:val="left"/>
      <w:pPr>
        <w:ind w:left="720" w:hanging="360"/>
      </w:pPr>
    </w:lvl>
    <w:lvl w:ilvl="1">
      <w:start w:val="1"/>
      <w:numFmt w:val="decimal"/>
      <w:isLgl/>
      <w:lvlText w:val="%1.%2."/>
      <w:lvlJc w:val="left"/>
      <w:pPr>
        <w:ind w:left="1146" w:hanging="72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8" w15:restartNumberingAfterBreak="0">
    <w:nsid w:val="7BB054CF"/>
    <w:multiLevelType w:val="hybridMultilevel"/>
    <w:tmpl w:val="C700E23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8"/>
  </w:num>
  <w:num w:numId="2">
    <w:abstractNumId w:val="27"/>
  </w:num>
  <w:num w:numId="3">
    <w:abstractNumId w:val="16"/>
  </w:num>
  <w:num w:numId="4">
    <w:abstractNumId w:val="10"/>
  </w:num>
  <w:num w:numId="5">
    <w:abstractNumId w:val="28"/>
  </w:num>
  <w:num w:numId="6">
    <w:abstractNumId w:val="14"/>
  </w:num>
  <w:num w:numId="7">
    <w:abstractNumId w:val="7"/>
  </w:num>
  <w:num w:numId="8">
    <w:abstractNumId w:val="1"/>
  </w:num>
  <w:num w:numId="9">
    <w:abstractNumId w:val="17"/>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6"/>
    <w:lvlOverride w:ilvl="0">
      <w:startOverride w:val="1"/>
    </w:lvlOverride>
    <w:lvlOverride w:ilvl="1"/>
    <w:lvlOverride w:ilvl="2"/>
    <w:lvlOverride w:ilvl="3"/>
    <w:lvlOverride w:ilvl="4"/>
    <w:lvlOverride w:ilvl="5"/>
    <w:lvlOverride w:ilvl="6"/>
    <w:lvlOverride w:ilvl="7"/>
    <w:lvlOverride w:ilvl="8"/>
  </w:num>
  <w:num w:numId="13">
    <w:abstractNumId w:val="26"/>
  </w:num>
  <w:num w:numId="14">
    <w:abstractNumId w:val="9"/>
  </w:num>
  <w:num w:numId="15">
    <w:abstractNumId w:val="0"/>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9"/>
  </w:num>
  <w:num w:numId="19">
    <w:abstractNumId w:val="25"/>
  </w:num>
  <w:num w:numId="20">
    <w:abstractNumId w:val="24"/>
  </w:num>
  <w:num w:numId="21">
    <w:abstractNumId w:val="12"/>
  </w:num>
  <w:num w:numId="22">
    <w:abstractNumId w:val="6"/>
  </w:num>
  <w:num w:numId="23">
    <w:abstractNumId w:val="8"/>
  </w:num>
  <w:num w:numId="24">
    <w:abstractNumId w:val="2"/>
  </w:num>
  <w:num w:numId="25">
    <w:abstractNumId w:val="22"/>
  </w:num>
  <w:num w:numId="26">
    <w:abstractNumId w:val="11"/>
  </w:num>
  <w:num w:numId="27">
    <w:abstractNumId w:val="23"/>
  </w:num>
  <w:num w:numId="28">
    <w:abstractNumId w:val="5"/>
  </w:num>
  <w:num w:numId="29">
    <w:abstractNumId w:val="4"/>
  </w:num>
  <w:num w:numId="30">
    <w:abstractNumId w:val="3"/>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810"/>
    <w:rsid w:val="00003E10"/>
    <w:rsid w:val="00006E1F"/>
    <w:rsid w:val="00013F7F"/>
    <w:rsid w:val="00040265"/>
    <w:rsid w:val="00041700"/>
    <w:rsid w:val="00041810"/>
    <w:rsid w:val="00043E73"/>
    <w:rsid w:val="0004490C"/>
    <w:rsid w:val="000604F9"/>
    <w:rsid w:val="00062779"/>
    <w:rsid w:val="0007060D"/>
    <w:rsid w:val="00082A39"/>
    <w:rsid w:val="00087222"/>
    <w:rsid w:val="00092F17"/>
    <w:rsid w:val="000A1BE6"/>
    <w:rsid w:val="000B2739"/>
    <w:rsid w:val="000B4FB5"/>
    <w:rsid w:val="000B5300"/>
    <w:rsid w:val="000C121C"/>
    <w:rsid w:val="000C42E5"/>
    <w:rsid w:val="000E3253"/>
    <w:rsid w:val="000F4A49"/>
    <w:rsid w:val="000F6011"/>
    <w:rsid w:val="00104B23"/>
    <w:rsid w:val="00111259"/>
    <w:rsid w:val="00120A1F"/>
    <w:rsid w:val="00123DA4"/>
    <w:rsid w:val="001311F2"/>
    <w:rsid w:val="00134D3B"/>
    <w:rsid w:val="001457BC"/>
    <w:rsid w:val="001464B3"/>
    <w:rsid w:val="00151238"/>
    <w:rsid w:val="001555B5"/>
    <w:rsid w:val="001749F8"/>
    <w:rsid w:val="0018392E"/>
    <w:rsid w:val="00183BF1"/>
    <w:rsid w:val="00184B3B"/>
    <w:rsid w:val="00186C4C"/>
    <w:rsid w:val="00190DB9"/>
    <w:rsid w:val="001A13A6"/>
    <w:rsid w:val="001A36A6"/>
    <w:rsid w:val="001A41AD"/>
    <w:rsid w:val="001A6E1A"/>
    <w:rsid w:val="001A71C7"/>
    <w:rsid w:val="001B160E"/>
    <w:rsid w:val="001B62D1"/>
    <w:rsid w:val="001B7654"/>
    <w:rsid w:val="001C6D90"/>
    <w:rsid w:val="001D4AE0"/>
    <w:rsid w:val="001D57D9"/>
    <w:rsid w:val="001D6832"/>
    <w:rsid w:val="001F22A3"/>
    <w:rsid w:val="001F28B8"/>
    <w:rsid w:val="001F466A"/>
    <w:rsid w:val="001F4FCE"/>
    <w:rsid w:val="00202DC1"/>
    <w:rsid w:val="00212025"/>
    <w:rsid w:val="00213D38"/>
    <w:rsid w:val="0022241F"/>
    <w:rsid w:val="00222684"/>
    <w:rsid w:val="00225805"/>
    <w:rsid w:val="00227627"/>
    <w:rsid w:val="002410CA"/>
    <w:rsid w:val="00262178"/>
    <w:rsid w:val="00265A62"/>
    <w:rsid w:val="0026795D"/>
    <w:rsid w:val="002703E6"/>
    <w:rsid w:val="00271C26"/>
    <w:rsid w:val="00276056"/>
    <w:rsid w:val="002812D1"/>
    <w:rsid w:val="002838E1"/>
    <w:rsid w:val="002861C4"/>
    <w:rsid w:val="00296552"/>
    <w:rsid w:val="002A0758"/>
    <w:rsid w:val="002A74A8"/>
    <w:rsid w:val="002A7C22"/>
    <w:rsid w:val="002B2467"/>
    <w:rsid w:val="002C1DEE"/>
    <w:rsid w:val="002C2D16"/>
    <w:rsid w:val="002C4CC4"/>
    <w:rsid w:val="002D4219"/>
    <w:rsid w:val="002D788C"/>
    <w:rsid w:val="002E0072"/>
    <w:rsid w:val="002F2745"/>
    <w:rsid w:val="003114FF"/>
    <w:rsid w:val="00312D57"/>
    <w:rsid w:val="00317D68"/>
    <w:rsid w:val="00342E80"/>
    <w:rsid w:val="0034637E"/>
    <w:rsid w:val="003474A8"/>
    <w:rsid w:val="00347732"/>
    <w:rsid w:val="003544BF"/>
    <w:rsid w:val="00356C37"/>
    <w:rsid w:val="00370BA7"/>
    <w:rsid w:val="0038006B"/>
    <w:rsid w:val="003823AE"/>
    <w:rsid w:val="00394FD3"/>
    <w:rsid w:val="003A11AC"/>
    <w:rsid w:val="003A5E4F"/>
    <w:rsid w:val="003B23D7"/>
    <w:rsid w:val="003B3F80"/>
    <w:rsid w:val="003B49A9"/>
    <w:rsid w:val="003C0A95"/>
    <w:rsid w:val="003D224A"/>
    <w:rsid w:val="003D552A"/>
    <w:rsid w:val="003F61B0"/>
    <w:rsid w:val="00402FCD"/>
    <w:rsid w:val="00411A38"/>
    <w:rsid w:val="0042495A"/>
    <w:rsid w:val="00431146"/>
    <w:rsid w:val="0046003E"/>
    <w:rsid w:val="004730CB"/>
    <w:rsid w:val="00473912"/>
    <w:rsid w:val="00473A98"/>
    <w:rsid w:val="00480B3A"/>
    <w:rsid w:val="004A0037"/>
    <w:rsid w:val="004A35D8"/>
    <w:rsid w:val="004A5616"/>
    <w:rsid w:val="004B06E5"/>
    <w:rsid w:val="004B15D9"/>
    <w:rsid w:val="004C2676"/>
    <w:rsid w:val="004D7EE1"/>
    <w:rsid w:val="004E183F"/>
    <w:rsid w:val="004F252D"/>
    <w:rsid w:val="004F5C00"/>
    <w:rsid w:val="00504B55"/>
    <w:rsid w:val="00514259"/>
    <w:rsid w:val="00514E15"/>
    <w:rsid w:val="005247E0"/>
    <w:rsid w:val="00525082"/>
    <w:rsid w:val="005456FB"/>
    <w:rsid w:val="005520DA"/>
    <w:rsid w:val="00563D81"/>
    <w:rsid w:val="00565D25"/>
    <w:rsid w:val="005678C0"/>
    <w:rsid w:val="005728D7"/>
    <w:rsid w:val="00572DC3"/>
    <w:rsid w:val="005854F7"/>
    <w:rsid w:val="005901A7"/>
    <w:rsid w:val="005954B3"/>
    <w:rsid w:val="005958CB"/>
    <w:rsid w:val="005B234A"/>
    <w:rsid w:val="005B491C"/>
    <w:rsid w:val="005C4D15"/>
    <w:rsid w:val="005D1A24"/>
    <w:rsid w:val="005D549D"/>
    <w:rsid w:val="005F7F74"/>
    <w:rsid w:val="00610FCB"/>
    <w:rsid w:val="006155F4"/>
    <w:rsid w:val="00622BD9"/>
    <w:rsid w:val="0062528A"/>
    <w:rsid w:val="00640DDB"/>
    <w:rsid w:val="00644702"/>
    <w:rsid w:val="006472F4"/>
    <w:rsid w:val="00651C66"/>
    <w:rsid w:val="0065327E"/>
    <w:rsid w:val="00661AB3"/>
    <w:rsid w:val="00661D3A"/>
    <w:rsid w:val="00670EEF"/>
    <w:rsid w:val="00674BB4"/>
    <w:rsid w:val="00676BF4"/>
    <w:rsid w:val="00680022"/>
    <w:rsid w:val="006873B8"/>
    <w:rsid w:val="006906FC"/>
    <w:rsid w:val="006A3CC9"/>
    <w:rsid w:val="006A3E29"/>
    <w:rsid w:val="006A49C6"/>
    <w:rsid w:val="006B1A76"/>
    <w:rsid w:val="006B4C2B"/>
    <w:rsid w:val="006D20FA"/>
    <w:rsid w:val="006E25A1"/>
    <w:rsid w:val="006E2DC1"/>
    <w:rsid w:val="006E7B3F"/>
    <w:rsid w:val="006F09F7"/>
    <w:rsid w:val="006F467D"/>
    <w:rsid w:val="006F49A6"/>
    <w:rsid w:val="00704CE5"/>
    <w:rsid w:val="007119CD"/>
    <w:rsid w:val="007347FF"/>
    <w:rsid w:val="00735F3E"/>
    <w:rsid w:val="00741D93"/>
    <w:rsid w:val="00744A17"/>
    <w:rsid w:val="00756EC7"/>
    <w:rsid w:val="007572ED"/>
    <w:rsid w:val="007639E5"/>
    <w:rsid w:val="007749E6"/>
    <w:rsid w:val="00776EF4"/>
    <w:rsid w:val="0077758A"/>
    <w:rsid w:val="0078407A"/>
    <w:rsid w:val="007A1232"/>
    <w:rsid w:val="007A2DED"/>
    <w:rsid w:val="007A46F2"/>
    <w:rsid w:val="007B17AC"/>
    <w:rsid w:val="007B31AE"/>
    <w:rsid w:val="007B3244"/>
    <w:rsid w:val="007D6EA2"/>
    <w:rsid w:val="007F1C84"/>
    <w:rsid w:val="0080027B"/>
    <w:rsid w:val="00817528"/>
    <w:rsid w:val="00821DDC"/>
    <w:rsid w:val="00823221"/>
    <w:rsid w:val="00831479"/>
    <w:rsid w:val="00843590"/>
    <w:rsid w:val="00845A76"/>
    <w:rsid w:val="0085125F"/>
    <w:rsid w:val="0085331E"/>
    <w:rsid w:val="00855D90"/>
    <w:rsid w:val="00857D60"/>
    <w:rsid w:val="00870063"/>
    <w:rsid w:val="00872F7E"/>
    <w:rsid w:val="008A7644"/>
    <w:rsid w:val="008C3A8F"/>
    <w:rsid w:val="008C71F7"/>
    <w:rsid w:val="008E67D5"/>
    <w:rsid w:val="008F0BC3"/>
    <w:rsid w:val="008F7FC4"/>
    <w:rsid w:val="00907174"/>
    <w:rsid w:val="00911F22"/>
    <w:rsid w:val="00914BBC"/>
    <w:rsid w:val="00915298"/>
    <w:rsid w:val="00920A14"/>
    <w:rsid w:val="009267EA"/>
    <w:rsid w:val="009325B5"/>
    <w:rsid w:val="00933897"/>
    <w:rsid w:val="009435F9"/>
    <w:rsid w:val="009479DB"/>
    <w:rsid w:val="00947A78"/>
    <w:rsid w:val="00954CA9"/>
    <w:rsid w:val="00954F27"/>
    <w:rsid w:val="00971B48"/>
    <w:rsid w:val="00973579"/>
    <w:rsid w:val="0097614C"/>
    <w:rsid w:val="00990EB8"/>
    <w:rsid w:val="00991667"/>
    <w:rsid w:val="00992A7D"/>
    <w:rsid w:val="009A35C8"/>
    <w:rsid w:val="009A38C6"/>
    <w:rsid w:val="009A4D11"/>
    <w:rsid w:val="009A599E"/>
    <w:rsid w:val="009B5711"/>
    <w:rsid w:val="009C4689"/>
    <w:rsid w:val="009C4777"/>
    <w:rsid w:val="009D2FC2"/>
    <w:rsid w:val="009D57B5"/>
    <w:rsid w:val="009E314F"/>
    <w:rsid w:val="009F1734"/>
    <w:rsid w:val="00A0578F"/>
    <w:rsid w:val="00A05F60"/>
    <w:rsid w:val="00A1071B"/>
    <w:rsid w:val="00A230B4"/>
    <w:rsid w:val="00A37188"/>
    <w:rsid w:val="00A46438"/>
    <w:rsid w:val="00A557C7"/>
    <w:rsid w:val="00A574AA"/>
    <w:rsid w:val="00A60786"/>
    <w:rsid w:val="00A65694"/>
    <w:rsid w:val="00A77CC9"/>
    <w:rsid w:val="00A90300"/>
    <w:rsid w:val="00A91E76"/>
    <w:rsid w:val="00A97D80"/>
    <w:rsid w:val="00AA2406"/>
    <w:rsid w:val="00AB1476"/>
    <w:rsid w:val="00AB3FE1"/>
    <w:rsid w:val="00AB5C43"/>
    <w:rsid w:val="00AC1C28"/>
    <w:rsid w:val="00AD13D4"/>
    <w:rsid w:val="00AD2F6C"/>
    <w:rsid w:val="00AD5E34"/>
    <w:rsid w:val="00AD70E7"/>
    <w:rsid w:val="00AD7115"/>
    <w:rsid w:val="00AD75C2"/>
    <w:rsid w:val="00AE2C4D"/>
    <w:rsid w:val="00AE5330"/>
    <w:rsid w:val="00B0424A"/>
    <w:rsid w:val="00B06330"/>
    <w:rsid w:val="00B10F46"/>
    <w:rsid w:val="00B1255A"/>
    <w:rsid w:val="00B134C4"/>
    <w:rsid w:val="00B20EA3"/>
    <w:rsid w:val="00B23F45"/>
    <w:rsid w:val="00B44BA6"/>
    <w:rsid w:val="00B47869"/>
    <w:rsid w:val="00B50F4B"/>
    <w:rsid w:val="00B530B8"/>
    <w:rsid w:val="00B677D9"/>
    <w:rsid w:val="00B74075"/>
    <w:rsid w:val="00B758D4"/>
    <w:rsid w:val="00B86075"/>
    <w:rsid w:val="00B9383C"/>
    <w:rsid w:val="00B95D53"/>
    <w:rsid w:val="00BA3DC6"/>
    <w:rsid w:val="00BA6DFC"/>
    <w:rsid w:val="00BA7265"/>
    <w:rsid w:val="00BB3B95"/>
    <w:rsid w:val="00BB5132"/>
    <w:rsid w:val="00BB66D6"/>
    <w:rsid w:val="00BB716B"/>
    <w:rsid w:val="00BD6681"/>
    <w:rsid w:val="00BF0D36"/>
    <w:rsid w:val="00BF2458"/>
    <w:rsid w:val="00BF4429"/>
    <w:rsid w:val="00BF5A84"/>
    <w:rsid w:val="00BF6DED"/>
    <w:rsid w:val="00C00885"/>
    <w:rsid w:val="00C12453"/>
    <w:rsid w:val="00C21E5E"/>
    <w:rsid w:val="00C300A0"/>
    <w:rsid w:val="00C32DDB"/>
    <w:rsid w:val="00C4080C"/>
    <w:rsid w:val="00C4136C"/>
    <w:rsid w:val="00C44D80"/>
    <w:rsid w:val="00C462D9"/>
    <w:rsid w:val="00C60497"/>
    <w:rsid w:val="00C65849"/>
    <w:rsid w:val="00C673AB"/>
    <w:rsid w:val="00C710CD"/>
    <w:rsid w:val="00C76422"/>
    <w:rsid w:val="00C85A59"/>
    <w:rsid w:val="00C96041"/>
    <w:rsid w:val="00CA12D9"/>
    <w:rsid w:val="00CA551A"/>
    <w:rsid w:val="00CB4BA6"/>
    <w:rsid w:val="00CC4F77"/>
    <w:rsid w:val="00CC5862"/>
    <w:rsid w:val="00CE056A"/>
    <w:rsid w:val="00CE10D1"/>
    <w:rsid w:val="00CF2CA2"/>
    <w:rsid w:val="00CF431E"/>
    <w:rsid w:val="00D13B3A"/>
    <w:rsid w:val="00D17BB9"/>
    <w:rsid w:val="00D21A8A"/>
    <w:rsid w:val="00D27D3F"/>
    <w:rsid w:val="00D40F02"/>
    <w:rsid w:val="00D46E45"/>
    <w:rsid w:val="00D55F18"/>
    <w:rsid w:val="00D74E45"/>
    <w:rsid w:val="00D75F65"/>
    <w:rsid w:val="00D84802"/>
    <w:rsid w:val="00D86D3A"/>
    <w:rsid w:val="00D92D9A"/>
    <w:rsid w:val="00D93678"/>
    <w:rsid w:val="00DA0557"/>
    <w:rsid w:val="00DA0B72"/>
    <w:rsid w:val="00DA2D63"/>
    <w:rsid w:val="00DA33C8"/>
    <w:rsid w:val="00DB279D"/>
    <w:rsid w:val="00DB27D7"/>
    <w:rsid w:val="00DD2027"/>
    <w:rsid w:val="00DD5DDF"/>
    <w:rsid w:val="00DE6B0B"/>
    <w:rsid w:val="00DF3853"/>
    <w:rsid w:val="00DF734B"/>
    <w:rsid w:val="00DF7F50"/>
    <w:rsid w:val="00E07967"/>
    <w:rsid w:val="00E1231D"/>
    <w:rsid w:val="00E203C8"/>
    <w:rsid w:val="00E22D5A"/>
    <w:rsid w:val="00E36CC9"/>
    <w:rsid w:val="00E536C2"/>
    <w:rsid w:val="00E56CD4"/>
    <w:rsid w:val="00E57411"/>
    <w:rsid w:val="00E63381"/>
    <w:rsid w:val="00E65831"/>
    <w:rsid w:val="00E723A1"/>
    <w:rsid w:val="00E74EE6"/>
    <w:rsid w:val="00E76451"/>
    <w:rsid w:val="00E83FF7"/>
    <w:rsid w:val="00EB1394"/>
    <w:rsid w:val="00EC5C06"/>
    <w:rsid w:val="00ED0255"/>
    <w:rsid w:val="00ED12D2"/>
    <w:rsid w:val="00ED6374"/>
    <w:rsid w:val="00EE2FA2"/>
    <w:rsid w:val="00EE456C"/>
    <w:rsid w:val="00EF0306"/>
    <w:rsid w:val="00EF4050"/>
    <w:rsid w:val="00F071CB"/>
    <w:rsid w:val="00F15DA2"/>
    <w:rsid w:val="00F223CD"/>
    <w:rsid w:val="00F24CE4"/>
    <w:rsid w:val="00F36206"/>
    <w:rsid w:val="00F36C98"/>
    <w:rsid w:val="00F42C91"/>
    <w:rsid w:val="00F44470"/>
    <w:rsid w:val="00F45646"/>
    <w:rsid w:val="00F568A0"/>
    <w:rsid w:val="00F750C1"/>
    <w:rsid w:val="00F84659"/>
    <w:rsid w:val="00FA021C"/>
    <w:rsid w:val="00FA04E2"/>
    <w:rsid w:val="00FA6208"/>
    <w:rsid w:val="00FB06FE"/>
    <w:rsid w:val="00FB185B"/>
    <w:rsid w:val="00FB3704"/>
    <w:rsid w:val="00FB3B89"/>
    <w:rsid w:val="00FC0B1C"/>
    <w:rsid w:val="00FD34A9"/>
    <w:rsid w:val="00FE14AE"/>
    <w:rsid w:val="00FE3E9E"/>
    <w:rsid w:val="00FE444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8FE77"/>
  <w15:chartTrackingRefBased/>
  <w15:docId w15:val="{82029E3D-C9FE-4E2A-81C3-30512D213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7D7"/>
    <w:pPr>
      <w:spacing w:after="0"/>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DB27D7"/>
    <w:rPr>
      <w:rFonts w:cs="Times New Roman"/>
      <w:color w:val="0000FF"/>
      <w:u w:val="single"/>
    </w:rPr>
  </w:style>
  <w:style w:type="paragraph" w:styleId="NormalWeb">
    <w:name w:val="Normal (Web)"/>
    <w:basedOn w:val="Normal"/>
    <w:uiPriority w:val="99"/>
    <w:rsid w:val="00DB27D7"/>
    <w:pPr>
      <w:spacing w:before="100" w:beforeAutospacing="1" w:after="100" w:afterAutospacing="1"/>
    </w:pPr>
  </w:style>
  <w:style w:type="paragraph" w:customStyle="1" w:styleId="naisf">
    <w:name w:val="naisf"/>
    <w:basedOn w:val="Normal"/>
    <w:rsid w:val="00DB27D7"/>
    <w:pPr>
      <w:spacing w:before="75" w:after="75"/>
      <w:ind w:firstLine="375"/>
      <w:jc w:val="both"/>
    </w:pPr>
  </w:style>
  <w:style w:type="paragraph" w:customStyle="1" w:styleId="naisnod">
    <w:name w:val="naisnod"/>
    <w:basedOn w:val="Normal"/>
    <w:uiPriority w:val="99"/>
    <w:rsid w:val="00DB27D7"/>
    <w:pPr>
      <w:spacing w:before="150" w:after="150"/>
      <w:jc w:val="center"/>
    </w:pPr>
    <w:rPr>
      <w:b/>
      <w:bCs/>
    </w:rPr>
  </w:style>
  <w:style w:type="paragraph" w:customStyle="1" w:styleId="naiskr">
    <w:name w:val="naiskr"/>
    <w:basedOn w:val="Normal"/>
    <w:rsid w:val="00DB27D7"/>
    <w:pPr>
      <w:spacing w:before="75" w:after="75"/>
    </w:pPr>
  </w:style>
  <w:style w:type="paragraph" w:customStyle="1" w:styleId="naisc">
    <w:name w:val="naisc"/>
    <w:basedOn w:val="Normal"/>
    <w:rsid w:val="00DB27D7"/>
    <w:pPr>
      <w:spacing w:before="75" w:after="75"/>
      <w:jc w:val="center"/>
    </w:pPr>
  </w:style>
  <w:style w:type="paragraph" w:styleId="Header">
    <w:name w:val="header"/>
    <w:basedOn w:val="Normal"/>
    <w:link w:val="HeaderChar"/>
    <w:uiPriority w:val="99"/>
    <w:rsid w:val="00DB27D7"/>
    <w:pPr>
      <w:tabs>
        <w:tab w:val="center" w:pos="4153"/>
        <w:tab w:val="right" w:pos="8306"/>
      </w:tabs>
    </w:pPr>
  </w:style>
  <w:style w:type="character" w:customStyle="1" w:styleId="HeaderChar">
    <w:name w:val="Header Char"/>
    <w:basedOn w:val="DefaultParagraphFont"/>
    <w:link w:val="Header"/>
    <w:uiPriority w:val="99"/>
    <w:rsid w:val="00DB27D7"/>
    <w:rPr>
      <w:rFonts w:ascii="Times New Roman" w:eastAsia="Times New Roman" w:hAnsi="Times New Roman" w:cs="Times New Roman"/>
      <w:sz w:val="24"/>
      <w:szCs w:val="24"/>
      <w:lang w:eastAsia="lv-LV"/>
    </w:rPr>
  </w:style>
  <w:style w:type="character" w:styleId="PageNumber">
    <w:name w:val="page number"/>
    <w:uiPriority w:val="99"/>
    <w:rsid w:val="00DB27D7"/>
    <w:rPr>
      <w:rFonts w:cs="Times New Roman"/>
    </w:rPr>
  </w:style>
  <w:style w:type="paragraph" w:styleId="Footer">
    <w:name w:val="footer"/>
    <w:basedOn w:val="Normal"/>
    <w:link w:val="FooterChar"/>
    <w:uiPriority w:val="99"/>
    <w:rsid w:val="00DB27D7"/>
    <w:pPr>
      <w:tabs>
        <w:tab w:val="center" w:pos="4153"/>
        <w:tab w:val="right" w:pos="8306"/>
      </w:tabs>
    </w:pPr>
  </w:style>
  <w:style w:type="character" w:customStyle="1" w:styleId="FooterChar">
    <w:name w:val="Footer Char"/>
    <w:basedOn w:val="DefaultParagraphFont"/>
    <w:link w:val="Footer"/>
    <w:uiPriority w:val="99"/>
    <w:rsid w:val="00DB27D7"/>
    <w:rPr>
      <w:rFonts w:ascii="Times New Roman" w:eastAsia="Times New Roman" w:hAnsi="Times New Roman" w:cs="Times New Roman"/>
      <w:sz w:val="24"/>
      <w:szCs w:val="24"/>
      <w:lang w:eastAsia="lv-LV"/>
    </w:rPr>
  </w:style>
  <w:style w:type="character" w:styleId="FootnoteReference">
    <w:name w:val="footnote reference"/>
    <w:aliases w:val="BVI fnr,EN Footnote Reference,Footnote Reference Number,Footnote Reference Superscript,Footnote Reference text,Footnote reference number,Footnote sign,Footnote symboFußnotenzeichen,Footnote symbol,Ref,Times 10 Point,fr,ftref,note TESI"/>
    <w:basedOn w:val="DefaultParagraphFont"/>
    <w:link w:val="Char2"/>
    <w:uiPriority w:val="99"/>
    <w:unhideWhenUsed/>
    <w:qFormat/>
    <w:rsid w:val="00DB27D7"/>
    <w:rPr>
      <w:vertAlign w:val="superscript"/>
    </w:rPr>
  </w:style>
  <w:style w:type="paragraph" w:customStyle="1" w:styleId="Char2">
    <w:name w:val="Char2"/>
    <w:aliases w:val="Char Char Char Char"/>
    <w:basedOn w:val="Normal"/>
    <w:next w:val="Normal"/>
    <w:link w:val="FootnoteReference"/>
    <w:uiPriority w:val="99"/>
    <w:rsid w:val="00DB27D7"/>
    <w:pPr>
      <w:spacing w:after="160" w:line="240" w:lineRule="exact"/>
      <w:jc w:val="both"/>
      <w:textAlignment w:val="baseline"/>
    </w:pPr>
    <w:rPr>
      <w:rFonts w:asciiTheme="minorHAnsi" w:eastAsiaTheme="minorHAnsi" w:hAnsiTheme="minorHAnsi" w:cstheme="minorBidi"/>
      <w:sz w:val="22"/>
      <w:szCs w:val="22"/>
      <w:vertAlign w:val="superscript"/>
      <w:lang w:eastAsia="en-US"/>
    </w:rPr>
  </w:style>
  <w:style w:type="paragraph" w:styleId="FootnoteText">
    <w:name w:val="footnote text"/>
    <w:aliases w:val="-E Fußnotentext,Char Char Char Char Char Char Char Char Char Char Char Char,Footnote,Fußnote,Fußnotentext Ursprung,Vēres teksts Char Char Char,Vēres teksts Char Char Char Char Char,footnote tex,ft,ft Rakstz.,ft Rakstz. Rakstz.,single space"/>
    <w:basedOn w:val="Normal"/>
    <w:link w:val="FootnoteTextChar"/>
    <w:uiPriority w:val="99"/>
    <w:unhideWhenUsed/>
    <w:qFormat/>
    <w:rsid w:val="00DB27D7"/>
    <w:rPr>
      <w:rFonts w:ascii="Calibri" w:eastAsia="Calibri" w:hAnsi="Calibri" w:cs="Calibri"/>
      <w:sz w:val="20"/>
      <w:szCs w:val="20"/>
    </w:rPr>
  </w:style>
  <w:style w:type="character" w:customStyle="1" w:styleId="FootnoteTextChar">
    <w:name w:val="Footnote Text Char"/>
    <w:aliases w:val="-E Fußnotentext Char,Char Char Char Char Char Char Char Char Char Char Char Char Char,Footnote Char,Fußnote Char,Fußnotentext Ursprung Char,Vēres teksts Char Char Char Char,Vēres teksts Char Char Char Char Char Char,footnote tex Char"/>
    <w:basedOn w:val="DefaultParagraphFont"/>
    <w:link w:val="FootnoteText"/>
    <w:uiPriority w:val="99"/>
    <w:rsid w:val="00DB27D7"/>
    <w:rPr>
      <w:rFonts w:ascii="Calibri" w:eastAsia="Calibri" w:hAnsi="Calibri" w:cs="Calibri"/>
      <w:sz w:val="20"/>
      <w:szCs w:val="20"/>
      <w:lang w:eastAsia="lv-LV"/>
    </w:rPr>
  </w:style>
  <w:style w:type="paragraph" w:styleId="NoSpacing">
    <w:name w:val="No Spacing"/>
    <w:link w:val="NoSpacingChar"/>
    <w:uiPriority w:val="1"/>
    <w:qFormat/>
    <w:rsid w:val="00DB27D7"/>
    <w:pPr>
      <w:widowControl w:val="0"/>
      <w:spacing w:after="0"/>
    </w:pPr>
    <w:rPr>
      <w:rFonts w:ascii="Calibri" w:eastAsia="Calibri" w:hAnsi="Calibri" w:cs="Times New Roman"/>
    </w:rPr>
  </w:style>
  <w:style w:type="paragraph" w:styleId="BodyTextIndent">
    <w:name w:val="Body Text Indent"/>
    <w:basedOn w:val="Normal"/>
    <w:link w:val="BodyTextIndentChar"/>
    <w:uiPriority w:val="99"/>
    <w:unhideWhenUsed/>
    <w:rsid w:val="00DB27D7"/>
    <w:pPr>
      <w:spacing w:after="120"/>
      <w:ind w:left="283"/>
    </w:pPr>
  </w:style>
  <w:style w:type="character" w:customStyle="1" w:styleId="BodyTextIndentChar">
    <w:name w:val="Body Text Indent Char"/>
    <w:basedOn w:val="DefaultParagraphFont"/>
    <w:link w:val="BodyTextIndent"/>
    <w:uiPriority w:val="99"/>
    <w:rsid w:val="00DB27D7"/>
    <w:rPr>
      <w:rFonts w:ascii="Times New Roman" w:eastAsia="Times New Roman" w:hAnsi="Times New Roman" w:cs="Times New Roman"/>
      <w:sz w:val="24"/>
      <w:szCs w:val="24"/>
      <w:lang w:eastAsia="lv-LV"/>
    </w:rPr>
  </w:style>
  <w:style w:type="paragraph" w:styleId="ListParagraph">
    <w:name w:val="List Paragraph"/>
    <w:aliases w:val="2,Akapit z listą BS,Bullet 1,Bullet Points,Dot pt,F5 List Paragraph,IFCL - List Paragraph,Indicator Text,List Paragraph Char Char Char,List Paragraph1,List Paragraph12,MAIN CONTENT,Numbered Para 1,OBC Bullet,Punkti ar numuriem,Strip,Bull"/>
    <w:basedOn w:val="Normal"/>
    <w:link w:val="ListParagraphChar"/>
    <w:uiPriority w:val="34"/>
    <w:qFormat/>
    <w:rsid w:val="00D27D3F"/>
    <w:pPr>
      <w:spacing w:after="200" w:line="276" w:lineRule="auto"/>
      <w:ind w:left="720"/>
      <w:contextualSpacing/>
    </w:pPr>
    <w:rPr>
      <w:rFonts w:ascii="Calibri" w:hAnsi="Calibri"/>
      <w:sz w:val="22"/>
      <w:szCs w:val="22"/>
      <w:lang w:eastAsia="en-US"/>
    </w:rPr>
  </w:style>
  <w:style w:type="character" w:customStyle="1" w:styleId="ListParagraphChar">
    <w:name w:val="List Paragraph Char"/>
    <w:aliases w:val="2 Char,Akapit z listą BS Char,Bullet 1 Char,Bullet Points Char,Dot pt Char,F5 List Paragraph Char,IFCL - List Paragraph Char,Indicator Text Char,List Paragraph Char Char Char Char,List Paragraph1 Char,List Paragraph12 Char,Strip Char"/>
    <w:link w:val="ListParagraph"/>
    <w:qFormat/>
    <w:locked/>
    <w:rsid w:val="00D27D3F"/>
    <w:rPr>
      <w:rFonts w:ascii="Calibri" w:eastAsia="Times New Roman" w:hAnsi="Calibri" w:cs="Times New Roman"/>
    </w:rPr>
  </w:style>
  <w:style w:type="paragraph" w:styleId="CommentText">
    <w:name w:val="annotation text"/>
    <w:basedOn w:val="Normal"/>
    <w:link w:val="CommentTextChar"/>
    <w:uiPriority w:val="99"/>
    <w:unhideWhenUsed/>
    <w:rsid w:val="009B5711"/>
    <w:pPr>
      <w:spacing w:after="200" w:line="276" w:lineRule="auto"/>
      <w:ind w:firstLine="720"/>
      <w:jc w:val="both"/>
    </w:pPr>
    <w:rPr>
      <w:rFonts w:ascii="Calibri" w:eastAsia="Calibri" w:hAnsi="Calibri" w:cs="Calibri"/>
      <w:sz w:val="20"/>
      <w:szCs w:val="20"/>
      <w:lang w:eastAsia="en-US"/>
    </w:rPr>
  </w:style>
  <w:style w:type="character" w:customStyle="1" w:styleId="CommentTextChar">
    <w:name w:val="Comment Text Char"/>
    <w:basedOn w:val="DefaultParagraphFont"/>
    <w:link w:val="CommentText"/>
    <w:uiPriority w:val="99"/>
    <w:rsid w:val="009B5711"/>
    <w:rPr>
      <w:rFonts w:ascii="Calibri" w:eastAsia="Calibri" w:hAnsi="Calibri" w:cs="Calibri"/>
      <w:sz w:val="20"/>
      <w:szCs w:val="20"/>
    </w:rPr>
  </w:style>
  <w:style w:type="paragraph" w:styleId="Title">
    <w:name w:val="Title"/>
    <w:basedOn w:val="Normal"/>
    <w:link w:val="TitleChar"/>
    <w:qFormat/>
    <w:rsid w:val="00E83FF7"/>
    <w:pPr>
      <w:jc w:val="center"/>
    </w:pPr>
    <w:rPr>
      <w:sz w:val="28"/>
      <w:szCs w:val="20"/>
      <w:lang w:eastAsia="en-US"/>
    </w:rPr>
  </w:style>
  <w:style w:type="character" w:customStyle="1" w:styleId="TitleChar">
    <w:name w:val="Title Char"/>
    <w:basedOn w:val="DefaultParagraphFont"/>
    <w:link w:val="Title"/>
    <w:rsid w:val="00E83FF7"/>
    <w:rPr>
      <w:rFonts w:ascii="Times New Roman" w:eastAsia="Times New Roman" w:hAnsi="Times New Roman" w:cs="Times New Roman"/>
      <w:sz w:val="28"/>
      <w:szCs w:val="20"/>
    </w:rPr>
  </w:style>
  <w:style w:type="character" w:styleId="CommentReference">
    <w:name w:val="annotation reference"/>
    <w:basedOn w:val="DefaultParagraphFont"/>
    <w:uiPriority w:val="99"/>
    <w:semiHidden/>
    <w:unhideWhenUsed/>
    <w:rsid w:val="000C121C"/>
    <w:rPr>
      <w:sz w:val="16"/>
      <w:szCs w:val="16"/>
    </w:rPr>
  </w:style>
  <w:style w:type="paragraph" w:styleId="CommentSubject">
    <w:name w:val="annotation subject"/>
    <w:basedOn w:val="CommentText"/>
    <w:next w:val="CommentText"/>
    <w:link w:val="CommentSubjectChar"/>
    <w:uiPriority w:val="99"/>
    <w:semiHidden/>
    <w:unhideWhenUsed/>
    <w:rsid w:val="000C121C"/>
    <w:pPr>
      <w:spacing w:after="0" w:line="240" w:lineRule="auto"/>
      <w:ind w:firstLine="0"/>
      <w:jc w:val="left"/>
    </w:pPr>
    <w:rPr>
      <w:rFonts w:ascii="Times New Roman" w:eastAsia="Times New Roman" w:hAnsi="Times New Roman" w:cs="Times New Roman"/>
      <w:b/>
      <w:bCs/>
      <w:lang w:eastAsia="lv-LV"/>
    </w:rPr>
  </w:style>
  <w:style w:type="character" w:customStyle="1" w:styleId="CommentSubjectChar">
    <w:name w:val="Comment Subject Char"/>
    <w:basedOn w:val="CommentTextChar"/>
    <w:link w:val="CommentSubject"/>
    <w:uiPriority w:val="99"/>
    <w:semiHidden/>
    <w:rsid w:val="000C121C"/>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0C12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21C"/>
    <w:rPr>
      <w:rFonts w:ascii="Segoe UI" w:eastAsia="Times New Roman" w:hAnsi="Segoe UI" w:cs="Segoe UI"/>
      <w:sz w:val="18"/>
      <w:szCs w:val="18"/>
      <w:lang w:eastAsia="lv-LV"/>
    </w:rPr>
  </w:style>
  <w:style w:type="character" w:customStyle="1" w:styleId="FontStyle60">
    <w:name w:val="Font Style60"/>
    <w:uiPriority w:val="99"/>
    <w:rsid w:val="007B31AE"/>
    <w:rPr>
      <w:rFonts w:ascii="Times New Roman" w:hAnsi="Times New Roman" w:cs="Times New Roman" w:hint="default"/>
      <w:sz w:val="22"/>
      <w:szCs w:val="22"/>
    </w:rPr>
  </w:style>
  <w:style w:type="character" w:customStyle="1" w:styleId="NoSpacingChar">
    <w:name w:val="No Spacing Char"/>
    <w:link w:val="NoSpacing"/>
    <w:uiPriority w:val="1"/>
    <w:locked/>
    <w:rsid w:val="00D92D9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3780196">
      <w:bodyDiv w:val="1"/>
      <w:marLeft w:val="0"/>
      <w:marRight w:val="0"/>
      <w:marTop w:val="0"/>
      <w:marBottom w:val="0"/>
      <w:divBdr>
        <w:top w:val="none" w:sz="0" w:space="0" w:color="auto"/>
        <w:left w:val="none" w:sz="0" w:space="0" w:color="auto"/>
        <w:bottom w:val="none" w:sz="0" w:space="0" w:color="auto"/>
        <w:right w:val="none" w:sz="0" w:space="0" w:color="auto"/>
      </w:divBdr>
    </w:div>
    <w:div w:id="1422798106">
      <w:bodyDiv w:val="1"/>
      <w:marLeft w:val="0"/>
      <w:marRight w:val="0"/>
      <w:marTop w:val="0"/>
      <w:marBottom w:val="0"/>
      <w:divBdr>
        <w:top w:val="none" w:sz="0" w:space="0" w:color="auto"/>
        <w:left w:val="none" w:sz="0" w:space="0" w:color="auto"/>
        <w:bottom w:val="none" w:sz="0" w:space="0" w:color="auto"/>
        <w:right w:val="none" w:sz="0" w:space="0" w:color="auto"/>
      </w:divBdr>
    </w:div>
    <w:div w:id="1575580100">
      <w:bodyDiv w:val="1"/>
      <w:marLeft w:val="0"/>
      <w:marRight w:val="0"/>
      <w:marTop w:val="0"/>
      <w:marBottom w:val="0"/>
      <w:divBdr>
        <w:top w:val="none" w:sz="0" w:space="0" w:color="auto"/>
        <w:left w:val="none" w:sz="0" w:space="0" w:color="auto"/>
        <w:bottom w:val="none" w:sz="0" w:space="0" w:color="auto"/>
        <w:right w:val="none" w:sz="0" w:space="0" w:color="auto"/>
      </w:divBdr>
    </w:div>
    <w:div w:id="1657757323">
      <w:bodyDiv w:val="1"/>
      <w:marLeft w:val="0"/>
      <w:marRight w:val="0"/>
      <w:marTop w:val="0"/>
      <w:marBottom w:val="0"/>
      <w:divBdr>
        <w:top w:val="none" w:sz="0" w:space="0" w:color="auto"/>
        <w:left w:val="none" w:sz="0" w:space="0" w:color="auto"/>
        <w:bottom w:val="none" w:sz="0" w:space="0" w:color="auto"/>
        <w:right w:val="none" w:sz="0" w:space="0" w:color="auto"/>
      </w:divBdr>
    </w:div>
    <w:div w:id="186227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A26D7-703D-45D0-B4C1-DF03FC5F2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26</Pages>
  <Words>7113</Words>
  <Characters>40550</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Izzina par iebildumiem</vt:lpstr>
    </vt:vector>
  </TitlesOfParts>
  <Company>VARAM</Company>
  <LinksUpToDate>false</LinksUpToDate>
  <CharactersWithSpaces>47568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Izzina par iebildumiem</dc:title>
  <dc:subject>Izzina</dc:subject>
  <dc:creator>Jevgēnija Butņicka</dc:creator>
  <cp:keywords/>
  <dc:description>J.Ilgavižs  66016721_x000d_
Janis.Ilgavizs@varam.gov.lv</dc:description>
  <cp:lastModifiedBy>Jevgēnija Butņicka</cp:lastModifiedBy>
  <cp:revision>5</cp:revision>
  <dcterms:created xsi:type="dcterms:W3CDTF">2019-11-09T14:53:00Z</dcterms:created>
  <dcterms:modified xsi:type="dcterms:W3CDTF">2019-11-09T15:24:00Z</dcterms:modified>
</cp:coreProperties>
</file>