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E9614" w14:textId="77777777" w:rsidR="00B23538" w:rsidRDefault="00B23538" w:rsidP="00B2353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TIRGUS IZPĒTES NOTEIKUMI </w:t>
      </w:r>
    </w:p>
    <w:p w14:paraId="6F207A78" w14:textId="67879EF7" w:rsidR="00B23538" w:rsidRDefault="005D0827" w:rsidP="00B23538">
      <w:pPr>
        <w:jc w:val="center"/>
        <w:rPr>
          <w:rFonts w:ascii="Times New Roman" w:hAnsi="Times New Roman" w:cs="Times New Roman"/>
          <w:i/>
          <w:color w:val="000000" w:themeColor="text1"/>
          <w:sz w:val="24"/>
          <w:szCs w:val="24"/>
        </w:rPr>
      </w:pPr>
      <w:bookmarkStart w:id="0" w:name="_Hlk8166414"/>
      <w:r>
        <w:rPr>
          <w:rFonts w:ascii="Times New Roman" w:hAnsi="Times New Roman" w:cs="Times New Roman"/>
          <w:i/>
          <w:color w:val="000000" w:themeColor="text1"/>
          <w:sz w:val="24"/>
          <w:szCs w:val="24"/>
        </w:rPr>
        <w:t>K</w:t>
      </w:r>
      <w:r w:rsidR="00B23538">
        <w:rPr>
          <w:rFonts w:ascii="Times New Roman" w:hAnsi="Times New Roman" w:cs="Times New Roman"/>
          <w:i/>
          <w:color w:val="000000" w:themeColor="text1"/>
          <w:sz w:val="24"/>
          <w:szCs w:val="24"/>
        </w:rPr>
        <w:t>artes maketēšanas pakalpojumi</w:t>
      </w:r>
    </w:p>
    <w:bookmarkEnd w:id="0"/>
    <w:p w14:paraId="4C073B83" w14:textId="5787C1D5" w:rsidR="00B23538" w:rsidRDefault="00B23538" w:rsidP="00B23538">
      <w:pPr>
        <w:jc w:val="both"/>
        <w:rPr>
          <w:rFonts w:ascii="Times New Roman" w:hAnsi="Times New Roman" w:cs="Times New Roman"/>
          <w:sz w:val="24"/>
          <w:szCs w:val="24"/>
        </w:rPr>
      </w:pPr>
      <w:r>
        <w:rPr>
          <w:rFonts w:ascii="Times New Roman" w:hAnsi="Times New Roman" w:cs="Times New Roman"/>
          <w:color w:val="000000" w:themeColor="text1"/>
          <w:sz w:val="24"/>
          <w:szCs w:val="24"/>
        </w:rPr>
        <w:t>Rīgā, 2021. </w:t>
      </w:r>
      <w:r>
        <w:rPr>
          <w:rFonts w:ascii="Times New Roman" w:hAnsi="Times New Roman" w:cs="Times New Roman"/>
          <w:sz w:val="24"/>
          <w:szCs w:val="24"/>
        </w:rPr>
        <w:t>gada </w:t>
      </w:r>
      <w:r w:rsidR="00BC0D35">
        <w:rPr>
          <w:rFonts w:ascii="Times New Roman" w:hAnsi="Times New Roman" w:cs="Times New Roman"/>
          <w:sz w:val="24"/>
          <w:szCs w:val="24"/>
        </w:rPr>
        <w:t>29</w:t>
      </w:r>
      <w:r w:rsidR="00D02D28">
        <w:rPr>
          <w:rFonts w:ascii="Times New Roman" w:hAnsi="Times New Roman" w:cs="Times New Roman"/>
          <w:sz w:val="24"/>
          <w:szCs w:val="24"/>
        </w:rPr>
        <w:t>.aprīlī</w:t>
      </w:r>
    </w:p>
    <w:p w14:paraId="4C82FC69" w14:textId="77777777" w:rsidR="00B23538" w:rsidRDefault="00B23538" w:rsidP="001E7ECF">
      <w:pPr>
        <w:pStyle w:val="ListParagraph"/>
        <w:numPr>
          <w:ilvl w:val="0"/>
          <w:numId w:val="5"/>
        </w:numPr>
        <w:spacing w:after="120" w:line="240" w:lineRule="auto"/>
        <w:ind w:left="714" w:hanging="357"/>
        <w:jc w:val="center"/>
        <w:rPr>
          <w:rFonts w:ascii="Times New Roman" w:hAnsi="Times New Roman"/>
          <w:b/>
          <w:sz w:val="24"/>
          <w:szCs w:val="24"/>
        </w:rPr>
      </w:pPr>
      <w:r>
        <w:rPr>
          <w:rFonts w:ascii="Times New Roman" w:hAnsi="Times New Roman"/>
          <w:b/>
          <w:sz w:val="24"/>
          <w:szCs w:val="24"/>
        </w:rPr>
        <w:t>TIRGUS IZPĒTES VEICĒJS</w:t>
      </w:r>
    </w:p>
    <w:tbl>
      <w:tblPr>
        <w:tblW w:w="8370" w:type="dxa"/>
        <w:tblInd w:w="-5" w:type="dxa"/>
        <w:tblLayout w:type="fixed"/>
        <w:tblLook w:val="04A0" w:firstRow="1" w:lastRow="0" w:firstColumn="1" w:lastColumn="0" w:noHBand="0" w:noVBand="1"/>
      </w:tblPr>
      <w:tblGrid>
        <w:gridCol w:w="2660"/>
        <w:gridCol w:w="5710"/>
      </w:tblGrid>
      <w:tr w:rsidR="00B23538" w14:paraId="1416F06A" w14:textId="77777777" w:rsidTr="00B23538">
        <w:tc>
          <w:tcPr>
            <w:tcW w:w="2658" w:type="dxa"/>
            <w:tcBorders>
              <w:top w:val="single" w:sz="4" w:space="0" w:color="000000"/>
              <w:left w:val="single" w:sz="4" w:space="0" w:color="000000"/>
              <w:bottom w:val="single" w:sz="4" w:space="0" w:color="000000"/>
              <w:right w:val="nil"/>
            </w:tcBorders>
            <w:hideMark/>
          </w:tcPr>
          <w:p w14:paraId="581A3098" w14:textId="77777777" w:rsidR="00B23538" w:rsidRDefault="00B23538">
            <w:pPr>
              <w:snapToGrid w:val="0"/>
              <w:spacing w:after="0" w:line="240" w:lineRule="auto"/>
              <w:jc w:val="both"/>
              <w:rPr>
                <w:rFonts w:ascii="Times New Roman" w:hAnsi="Times New Roman"/>
                <w:sz w:val="24"/>
                <w:szCs w:val="24"/>
              </w:rPr>
            </w:pPr>
            <w:r>
              <w:rPr>
                <w:rFonts w:ascii="Times New Roman" w:hAnsi="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hideMark/>
          </w:tcPr>
          <w:p w14:paraId="7FC718FF" w14:textId="77777777"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Kurzemes plānošanas reģions</w:t>
            </w:r>
          </w:p>
        </w:tc>
      </w:tr>
      <w:tr w:rsidR="00B23538" w14:paraId="59AF720E" w14:textId="77777777" w:rsidTr="00B23538">
        <w:tc>
          <w:tcPr>
            <w:tcW w:w="2658" w:type="dxa"/>
            <w:tcBorders>
              <w:top w:val="single" w:sz="4" w:space="0" w:color="000000"/>
              <w:left w:val="single" w:sz="4" w:space="0" w:color="000000"/>
              <w:bottom w:val="single" w:sz="4" w:space="0" w:color="000000"/>
              <w:right w:val="nil"/>
            </w:tcBorders>
            <w:hideMark/>
          </w:tcPr>
          <w:p w14:paraId="4F11DD10" w14:textId="77777777" w:rsidR="00B23538" w:rsidRDefault="00B23538">
            <w:pPr>
              <w:snapToGrid w:val="0"/>
              <w:spacing w:after="0" w:line="240" w:lineRule="auto"/>
              <w:jc w:val="both"/>
              <w:rPr>
                <w:rFonts w:ascii="Times New Roman" w:hAnsi="Times New Roman"/>
                <w:sz w:val="24"/>
                <w:szCs w:val="24"/>
              </w:rPr>
            </w:pPr>
            <w:r>
              <w:rPr>
                <w:rFonts w:ascii="Times New Roman" w:hAnsi="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hideMark/>
          </w:tcPr>
          <w:p w14:paraId="7B5A7E62" w14:textId="77777777"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Avotu iela 12, Saldus, Saldus novads, LV-3801</w:t>
            </w:r>
          </w:p>
        </w:tc>
      </w:tr>
      <w:tr w:rsidR="00B23538" w14:paraId="34CC3860" w14:textId="77777777" w:rsidTr="00B23538">
        <w:tc>
          <w:tcPr>
            <w:tcW w:w="2658" w:type="dxa"/>
            <w:tcBorders>
              <w:top w:val="single" w:sz="4" w:space="0" w:color="000000"/>
              <w:left w:val="single" w:sz="4" w:space="0" w:color="000000"/>
              <w:bottom w:val="single" w:sz="4" w:space="0" w:color="000000"/>
              <w:right w:val="nil"/>
            </w:tcBorders>
            <w:hideMark/>
          </w:tcPr>
          <w:p w14:paraId="3AB7780D" w14:textId="77777777" w:rsidR="00B23538" w:rsidRDefault="00B23538">
            <w:pPr>
              <w:snapToGrid w:val="0"/>
              <w:spacing w:after="0" w:line="240" w:lineRule="auto"/>
              <w:jc w:val="both"/>
              <w:rPr>
                <w:rFonts w:ascii="Times New Roman" w:hAnsi="Times New Roman"/>
                <w:sz w:val="24"/>
                <w:szCs w:val="24"/>
              </w:rPr>
            </w:pPr>
            <w:r>
              <w:rPr>
                <w:rFonts w:ascii="Times New Roman" w:hAnsi="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hideMark/>
          </w:tcPr>
          <w:p w14:paraId="2B8552F5" w14:textId="77777777"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90002183562</w:t>
            </w:r>
          </w:p>
        </w:tc>
      </w:tr>
      <w:tr w:rsidR="00B23538" w14:paraId="180BA48D" w14:textId="77777777" w:rsidTr="00B23538">
        <w:tc>
          <w:tcPr>
            <w:tcW w:w="2658" w:type="dxa"/>
            <w:tcBorders>
              <w:top w:val="single" w:sz="4" w:space="0" w:color="000000"/>
              <w:left w:val="single" w:sz="4" w:space="0" w:color="000000"/>
              <w:bottom w:val="single" w:sz="4" w:space="0" w:color="000000"/>
              <w:right w:val="nil"/>
            </w:tcBorders>
            <w:hideMark/>
          </w:tcPr>
          <w:p w14:paraId="199B9DA2" w14:textId="77777777" w:rsidR="00B23538" w:rsidRDefault="00B23538">
            <w:pPr>
              <w:snapToGrid w:val="0"/>
              <w:spacing w:after="0" w:line="240" w:lineRule="auto"/>
              <w:jc w:val="both"/>
              <w:rPr>
                <w:rFonts w:ascii="Times New Roman" w:hAnsi="Times New Roman"/>
                <w:sz w:val="24"/>
                <w:szCs w:val="24"/>
              </w:rPr>
            </w:pPr>
            <w:r>
              <w:rPr>
                <w:rFonts w:ascii="Times New Roman" w:hAnsi="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hideMark/>
          </w:tcPr>
          <w:p w14:paraId="01FB12C4" w14:textId="77777777"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Birojs: Valguma iela 4a, Rīga, LV-1048</w:t>
            </w:r>
          </w:p>
        </w:tc>
      </w:tr>
      <w:tr w:rsidR="00B23538" w14:paraId="21028CEF" w14:textId="77777777" w:rsidTr="00B23538">
        <w:tc>
          <w:tcPr>
            <w:tcW w:w="2658" w:type="dxa"/>
            <w:tcBorders>
              <w:top w:val="single" w:sz="4" w:space="0" w:color="000000"/>
              <w:left w:val="single" w:sz="4" w:space="0" w:color="000000"/>
              <w:bottom w:val="single" w:sz="4" w:space="0" w:color="000000"/>
              <w:right w:val="nil"/>
            </w:tcBorders>
            <w:hideMark/>
          </w:tcPr>
          <w:p w14:paraId="11B4634F" w14:textId="77777777" w:rsidR="00B23538" w:rsidRDefault="00B23538">
            <w:pPr>
              <w:snapToGrid w:val="0"/>
              <w:spacing w:after="0" w:line="240" w:lineRule="auto"/>
              <w:jc w:val="both"/>
              <w:rPr>
                <w:rFonts w:ascii="Times New Roman" w:hAnsi="Times New Roman"/>
                <w:sz w:val="24"/>
                <w:szCs w:val="24"/>
              </w:rPr>
            </w:pPr>
            <w:r>
              <w:rPr>
                <w:rFonts w:ascii="Times New Roman" w:hAnsi="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hideMark/>
          </w:tcPr>
          <w:p w14:paraId="50528D03" w14:textId="09E659E6"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Zane Gaile, tālr. </w:t>
            </w:r>
            <w:r w:rsidRPr="00B23538">
              <w:rPr>
                <w:rFonts w:ascii="Times New Roman" w:hAnsi="Times New Roman" w:cs="Times New Roman"/>
                <w:sz w:val="24"/>
                <w:szCs w:val="24"/>
              </w:rPr>
              <w:t>29206098</w:t>
            </w:r>
            <w:r>
              <w:rPr>
                <w:rFonts w:ascii="Times New Roman" w:hAnsi="Times New Roman" w:cs="Times New Roman"/>
                <w:sz w:val="24"/>
                <w:szCs w:val="24"/>
              </w:rPr>
              <w:t xml:space="preserve">, </w:t>
            </w:r>
          </w:p>
          <w:p w14:paraId="09F89897" w14:textId="4303C0C2" w:rsidR="00B23538" w:rsidRDefault="00B23538">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e-pasts: </w:t>
            </w:r>
            <w:hyperlink r:id="rId7" w:history="1">
              <w:r w:rsidRPr="00BD683F">
                <w:rPr>
                  <w:rStyle w:val="Hyperlink"/>
                  <w:rFonts w:ascii="Times New Roman" w:hAnsi="Times New Roman" w:cs="Times New Roman"/>
                  <w:sz w:val="24"/>
                  <w:szCs w:val="24"/>
                </w:rPr>
                <w:t>zane.gaile@kurzemesregions.lv</w:t>
              </w:r>
            </w:hyperlink>
          </w:p>
        </w:tc>
      </w:tr>
    </w:tbl>
    <w:p w14:paraId="79E56983" w14:textId="0BE78086" w:rsidR="00B23538" w:rsidRDefault="00FD422B" w:rsidP="001E7ECF">
      <w:pPr>
        <w:pStyle w:val="ListParagraph"/>
        <w:numPr>
          <w:ilvl w:val="0"/>
          <w:numId w:val="5"/>
        </w:numPr>
        <w:spacing w:before="120" w:after="120" w:line="240" w:lineRule="auto"/>
        <w:ind w:left="714" w:hanging="3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PRIEKŠMETA VISPĀRĪGS APRAKSTS</w:t>
      </w:r>
    </w:p>
    <w:p w14:paraId="710DCBBC" w14:textId="46FF0435" w:rsidR="00B23538" w:rsidRDefault="00B23538" w:rsidP="001E7ECF">
      <w:pPr>
        <w:pStyle w:val="ListParagraph"/>
        <w:numPr>
          <w:ilvl w:val="1"/>
          <w:numId w:val="5"/>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Iepirkuma priekšmets ir </w:t>
      </w:r>
      <w:r w:rsidRPr="004A3C41">
        <w:rPr>
          <w:rFonts w:ascii="Times New Roman" w:hAnsi="Times New Roman" w:cs="Times New Roman"/>
          <w:color w:val="000000" w:themeColor="text1"/>
          <w:sz w:val="24"/>
          <w:szCs w:val="24"/>
        </w:rPr>
        <w:t>karte</w:t>
      </w:r>
      <w:r>
        <w:rPr>
          <w:rFonts w:ascii="Times New Roman" w:hAnsi="Times New Roman" w:cs="Times New Roman"/>
          <w:color w:val="000000" w:themeColor="text1"/>
          <w:sz w:val="24"/>
          <w:szCs w:val="24"/>
        </w:rPr>
        <w:t>s</w:t>
      </w:r>
      <w:r w:rsidRPr="004A3C41">
        <w:rPr>
          <w:rFonts w:ascii="Times New Roman" w:hAnsi="Times New Roman" w:cs="Times New Roman"/>
          <w:color w:val="000000" w:themeColor="text1"/>
          <w:sz w:val="24"/>
          <w:szCs w:val="24"/>
        </w:rPr>
        <w:t xml:space="preserve"> </w:t>
      </w:r>
      <w:r w:rsidRPr="00A947C9">
        <w:rPr>
          <w:rFonts w:ascii="Times New Roman" w:hAnsi="Times New Roman" w:cs="Times New Roman"/>
          <w:color w:val="000000" w:themeColor="text1"/>
          <w:sz w:val="24"/>
          <w:szCs w:val="24"/>
        </w:rPr>
        <w:t>“</w:t>
      </w:r>
      <w:r w:rsidR="005D0827" w:rsidRPr="00A947C9">
        <w:rPr>
          <w:rFonts w:ascii="Times New Roman" w:hAnsi="Times New Roman" w:cs="Times New Roman"/>
          <w:color w:val="000000" w:themeColor="text1"/>
          <w:sz w:val="24"/>
          <w:szCs w:val="24"/>
        </w:rPr>
        <w:t>Central Baltic Small Ports</w:t>
      </w:r>
      <w:r w:rsidRPr="00A947C9">
        <w:rPr>
          <w:rFonts w:ascii="Times New Roman" w:hAnsi="Times New Roman" w:cs="Times New Roman"/>
          <w:color w:val="000000" w:themeColor="text1"/>
          <w:sz w:val="24"/>
          <w:szCs w:val="24"/>
        </w:rPr>
        <w:t>”</w:t>
      </w:r>
      <w:r w:rsidRPr="004A3C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maketa izstrādes pakalpojums </w:t>
      </w:r>
      <w:r w:rsidRPr="004A3C41">
        <w:rPr>
          <w:rFonts w:ascii="Times New Roman" w:hAnsi="Times New Roman" w:cs="Times New Roman"/>
          <w:color w:val="000000" w:themeColor="text1"/>
          <w:sz w:val="24"/>
          <w:szCs w:val="24"/>
        </w:rPr>
        <w:t xml:space="preserve">saskaņā </w:t>
      </w:r>
      <w:r>
        <w:rPr>
          <w:rFonts w:ascii="Times New Roman" w:hAnsi="Times New Roman" w:cs="Times New Roman"/>
          <w:sz w:val="24"/>
          <w:szCs w:val="24"/>
        </w:rPr>
        <w:t xml:space="preserve">ar tehnisko specifikāciju </w:t>
      </w:r>
      <w:r>
        <w:rPr>
          <w:rFonts w:ascii="Times New Roman" w:hAnsi="Times New Roman" w:cs="Times New Roman"/>
          <w:color w:val="000000" w:themeColor="text1"/>
          <w:sz w:val="24"/>
          <w:szCs w:val="24"/>
        </w:rPr>
        <w:t xml:space="preserve">(turpmāk – Iepirkuma priekšmets). </w:t>
      </w:r>
    </w:p>
    <w:p w14:paraId="394DE2F5" w14:textId="2704674D" w:rsidR="00B23538" w:rsidRDefault="00B23538" w:rsidP="001E7ECF">
      <w:pPr>
        <w:pStyle w:val="ListParagraph"/>
        <w:numPr>
          <w:ilvl w:val="1"/>
          <w:numId w:val="5"/>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Iepirkuma priekšmeta CPV kods: </w:t>
      </w:r>
      <w:r w:rsidR="00D96533" w:rsidRPr="00D96533">
        <w:rPr>
          <w:rFonts w:ascii="Times New Roman" w:hAnsi="Times New Roman" w:cs="Times New Roman"/>
          <w:color w:val="000000" w:themeColor="text1"/>
          <w:sz w:val="24"/>
          <w:szCs w:val="24"/>
        </w:rPr>
        <w:t xml:space="preserve">79822000-2 </w:t>
      </w:r>
      <w:r>
        <w:rPr>
          <w:rFonts w:ascii="Times New Roman" w:hAnsi="Times New Roman" w:cs="Times New Roman"/>
          <w:color w:val="000000" w:themeColor="text1"/>
          <w:sz w:val="24"/>
          <w:szCs w:val="24"/>
        </w:rPr>
        <w:t>(</w:t>
      </w:r>
      <w:r w:rsidR="00D96533" w:rsidRPr="00D96533">
        <w:rPr>
          <w:rFonts w:ascii="Times New Roman" w:hAnsi="Times New Roman" w:cs="Times New Roman"/>
          <w:color w:val="000000" w:themeColor="text1"/>
          <w:sz w:val="24"/>
          <w:szCs w:val="24"/>
        </w:rPr>
        <w:t>Salikšanas pakalpojumi</w:t>
      </w:r>
      <w:r>
        <w:rPr>
          <w:rFonts w:ascii="Times New Roman" w:hAnsi="Times New Roman" w:cs="Times New Roman"/>
          <w:color w:val="000000" w:themeColor="text1"/>
          <w:sz w:val="24"/>
          <w:szCs w:val="24"/>
        </w:rPr>
        <w:t>).</w:t>
      </w:r>
    </w:p>
    <w:p w14:paraId="7C08ADFD" w14:textId="603BAC5D" w:rsidR="00B23538" w:rsidRDefault="00B23538" w:rsidP="001E7ECF">
      <w:pPr>
        <w:pStyle w:val="ListParagraph"/>
        <w:numPr>
          <w:ilvl w:val="1"/>
          <w:numId w:val="5"/>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Iepirkuma priekšmet</w:t>
      </w:r>
      <w:r w:rsidR="00D96533">
        <w:rPr>
          <w:rFonts w:ascii="Times New Roman" w:hAnsi="Times New Roman" w:cs="Times New Roman"/>
          <w:color w:val="000000" w:themeColor="text1"/>
          <w:sz w:val="24"/>
          <w:szCs w:val="24"/>
        </w:rPr>
        <w:t>a ietvaros veicamā pakalpojuma darba uzdevums</w:t>
      </w:r>
      <w:r>
        <w:rPr>
          <w:rFonts w:ascii="Times New Roman" w:hAnsi="Times New Roman" w:cs="Times New Roman"/>
          <w:color w:val="000000" w:themeColor="text1"/>
          <w:sz w:val="24"/>
          <w:szCs w:val="24"/>
        </w:rPr>
        <w:t xml:space="preserve">  aprakstīts tirgus izpētes noteikumu (turpmāk – noteikumi) 1.pielikumā „Tehniskā specifikācija”.</w:t>
      </w:r>
    </w:p>
    <w:p w14:paraId="7407ACB5" w14:textId="222846CD" w:rsidR="00B23538" w:rsidRPr="00A947C9" w:rsidRDefault="00B23538" w:rsidP="00083D6F">
      <w:pPr>
        <w:pStyle w:val="ListParagraph"/>
        <w:numPr>
          <w:ilvl w:val="1"/>
          <w:numId w:val="5"/>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Iepirkuma priekšmets tiek finansēts no </w:t>
      </w:r>
      <w:r w:rsidR="00083D6F">
        <w:rPr>
          <w:rFonts w:ascii="Times New Roman" w:hAnsi="Times New Roman" w:cs="Times New Roman"/>
          <w:color w:val="000000" w:themeColor="text1"/>
          <w:sz w:val="24"/>
          <w:szCs w:val="24"/>
        </w:rPr>
        <w:t xml:space="preserve">INTERREG </w:t>
      </w:r>
      <w:r w:rsidR="005D0827">
        <w:rPr>
          <w:rFonts w:ascii="Times New Roman" w:hAnsi="Times New Roman" w:cs="Times New Roman"/>
          <w:color w:val="000000" w:themeColor="text1"/>
          <w:sz w:val="24"/>
          <w:szCs w:val="24"/>
        </w:rPr>
        <w:t>Centrāl</w:t>
      </w:r>
      <w:r w:rsidR="00083D6F">
        <w:rPr>
          <w:rFonts w:ascii="Times New Roman" w:hAnsi="Times New Roman" w:cs="Times New Roman"/>
          <w:color w:val="000000" w:themeColor="text1"/>
          <w:sz w:val="24"/>
          <w:szCs w:val="24"/>
        </w:rPr>
        <w:t xml:space="preserve">Baltijas </w:t>
      </w:r>
      <w:r w:rsidR="005D0827">
        <w:rPr>
          <w:rFonts w:ascii="Times New Roman" w:hAnsi="Times New Roman" w:cs="Times New Roman"/>
          <w:color w:val="000000" w:themeColor="text1"/>
          <w:sz w:val="24"/>
          <w:szCs w:val="24"/>
        </w:rPr>
        <w:t>p</w:t>
      </w:r>
      <w:r w:rsidR="00083D6F">
        <w:rPr>
          <w:rFonts w:ascii="Times New Roman" w:hAnsi="Times New Roman" w:cs="Times New Roman"/>
          <w:color w:val="000000" w:themeColor="text1"/>
          <w:sz w:val="24"/>
          <w:szCs w:val="24"/>
        </w:rPr>
        <w:t xml:space="preserve">rogrammas </w:t>
      </w:r>
      <w:r w:rsidR="00083D6F" w:rsidRPr="00A947C9">
        <w:rPr>
          <w:rFonts w:ascii="Times New Roman" w:hAnsi="Times New Roman" w:cs="Times New Roman"/>
          <w:color w:val="000000" w:themeColor="text1"/>
          <w:sz w:val="24"/>
          <w:szCs w:val="24"/>
        </w:rPr>
        <w:t xml:space="preserve">projekta </w:t>
      </w:r>
      <w:r w:rsidR="005D0827" w:rsidRPr="00A947C9">
        <w:rPr>
          <w:rFonts w:ascii="Times New Roman" w:hAnsi="Times New Roman" w:cs="Times New Roman"/>
          <w:color w:val="000000" w:themeColor="text1"/>
          <w:sz w:val="24"/>
          <w:szCs w:val="24"/>
        </w:rPr>
        <w:t>“</w:t>
      </w:r>
      <w:r w:rsidR="00A947C9" w:rsidRPr="00A947C9">
        <w:rPr>
          <w:rFonts w:ascii="Times New Roman" w:hAnsi="Times New Roman" w:cs="Times New Roman"/>
          <w:color w:val="000000" w:themeColor="text1"/>
          <w:sz w:val="24"/>
          <w:szCs w:val="24"/>
        </w:rPr>
        <w:t>CB Small Ports</w:t>
      </w:r>
      <w:r w:rsidR="005D0827" w:rsidRPr="00A947C9">
        <w:rPr>
          <w:rFonts w:ascii="Times New Roman" w:hAnsi="Times New Roman" w:cs="Times New Roman"/>
          <w:color w:val="000000" w:themeColor="text1"/>
          <w:sz w:val="24"/>
          <w:szCs w:val="24"/>
        </w:rPr>
        <w:t>”</w:t>
      </w:r>
      <w:r w:rsidR="00A947C9">
        <w:rPr>
          <w:rFonts w:ascii="Times New Roman" w:hAnsi="Times New Roman" w:cs="Times New Roman"/>
          <w:color w:val="000000" w:themeColor="text1"/>
          <w:sz w:val="24"/>
          <w:szCs w:val="24"/>
        </w:rPr>
        <w:t xml:space="preserve">, </w:t>
      </w:r>
      <w:r w:rsidR="00A947C9" w:rsidRPr="00A947C9">
        <w:rPr>
          <w:rFonts w:ascii="Times New Roman" w:hAnsi="Times New Roman" w:cs="Times New Roman"/>
          <w:color w:val="000000" w:themeColor="text1"/>
          <w:sz w:val="24"/>
          <w:szCs w:val="24"/>
        </w:rPr>
        <w:t>Nr.</w:t>
      </w:r>
      <w:r w:rsidR="00A947C9">
        <w:rPr>
          <w:rFonts w:ascii="Times New Roman" w:hAnsi="Times New Roman" w:cs="Times New Roman"/>
          <w:color w:val="000000" w:themeColor="text1"/>
          <w:sz w:val="24"/>
          <w:szCs w:val="24"/>
        </w:rPr>
        <w:t xml:space="preserve"> </w:t>
      </w:r>
      <w:r w:rsidR="00A947C9" w:rsidRPr="00A947C9">
        <w:rPr>
          <w:rStyle w:val="Strong"/>
          <w:rFonts w:ascii="Times New Roman" w:hAnsi="Times New Roman" w:cs="Times New Roman"/>
          <w:b w:val="0"/>
          <w:sz w:val="24"/>
          <w:szCs w:val="24"/>
          <w:shd w:val="clear" w:color="auto" w:fill="FFFFFF"/>
        </w:rPr>
        <w:t>CB845</w:t>
      </w:r>
      <w:r w:rsidRPr="00A947C9">
        <w:rPr>
          <w:rFonts w:ascii="Times New Roman" w:hAnsi="Times New Roman" w:cs="Times New Roman"/>
          <w:color w:val="000000" w:themeColor="text1"/>
          <w:sz w:val="24"/>
          <w:szCs w:val="24"/>
        </w:rPr>
        <w:t>.</w:t>
      </w:r>
    </w:p>
    <w:p w14:paraId="657987E0" w14:textId="77777777" w:rsidR="00B23538" w:rsidRDefault="00B23538" w:rsidP="001E7ECF">
      <w:pPr>
        <w:pStyle w:val="ListParagraph"/>
        <w:numPr>
          <w:ilvl w:val="1"/>
          <w:numId w:val="5"/>
        </w:numPr>
        <w:spacing w:after="12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Pakalpojuma sniegšanas termiņš: atbilstoši noteikumu 1. pielikumā norādītajam.</w:t>
      </w:r>
    </w:p>
    <w:p w14:paraId="025E7A6A" w14:textId="77777777" w:rsidR="00B23538" w:rsidRDefault="00B23538" w:rsidP="001E7ECF">
      <w:pPr>
        <w:pStyle w:val="ListParagraph"/>
        <w:numPr>
          <w:ilvl w:val="0"/>
          <w:numId w:val="5"/>
        </w:numPr>
        <w:spacing w:after="120" w:line="240" w:lineRule="auto"/>
        <w:ind w:left="714" w:hanging="3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PIEDĀVĀJUMA IZVĒLES KRITĒRIJS</w:t>
      </w:r>
    </w:p>
    <w:p w14:paraId="7D8AE668" w14:textId="18CB7C18" w:rsidR="00B23538" w:rsidRDefault="00B23538" w:rsidP="00B23538">
      <w:pPr>
        <w:spacing w:after="120" w:line="240" w:lineRule="auto"/>
        <w:jc w:val="both"/>
        <w:rPr>
          <w:rFonts w:ascii="Times New Roman" w:hAnsi="Times New Roman"/>
          <w:bCs/>
          <w:sz w:val="24"/>
          <w:szCs w:val="24"/>
        </w:rPr>
      </w:pPr>
      <w:r>
        <w:rPr>
          <w:rFonts w:ascii="Times New Roman" w:hAnsi="Times New Roman"/>
          <w:bCs/>
          <w:sz w:val="24"/>
          <w:szCs w:val="24"/>
        </w:rPr>
        <w:t>Piedāvājuma izvē</w:t>
      </w:r>
      <w:r w:rsidR="001E7ECF">
        <w:rPr>
          <w:rFonts w:ascii="Times New Roman" w:hAnsi="Times New Roman"/>
          <w:bCs/>
          <w:sz w:val="24"/>
          <w:szCs w:val="24"/>
        </w:rPr>
        <w:t xml:space="preserve">rtēšanas </w:t>
      </w:r>
      <w:r>
        <w:rPr>
          <w:rFonts w:ascii="Times New Roman" w:hAnsi="Times New Roman"/>
          <w:bCs/>
          <w:sz w:val="24"/>
          <w:szCs w:val="24"/>
        </w:rPr>
        <w:t xml:space="preserve">kritērijs ir </w:t>
      </w:r>
      <w:r>
        <w:rPr>
          <w:rFonts w:ascii="Times New Roman" w:hAnsi="Times New Roman"/>
          <w:b/>
          <w:bCs/>
          <w:sz w:val="24"/>
          <w:szCs w:val="24"/>
        </w:rPr>
        <w:t>saimnieciski visizdevīgākais piedāvājums</w:t>
      </w:r>
      <w:r w:rsidR="00FD422B">
        <w:rPr>
          <w:rFonts w:ascii="Times New Roman" w:hAnsi="Times New Roman"/>
          <w:b/>
          <w:bCs/>
          <w:sz w:val="24"/>
          <w:szCs w:val="24"/>
        </w:rPr>
        <w:t xml:space="preserve">. </w:t>
      </w:r>
    </w:p>
    <w:p w14:paraId="54B622F0" w14:textId="096FA531" w:rsidR="00B23538" w:rsidRDefault="00B23538" w:rsidP="001E7ECF">
      <w:pPr>
        <w:pStyle w:val="ListParagraph"/>
        <w:numPr>
          <w:ilvl w:val="0"/>
          <w:numId w:val="5"/>
        </w:numPr>
        <w:spacing w:after="1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PIEDĀVĀJUMA IESNIEGŠANAS NOTEIKUMI</w:t>
      </w:r>
    </w:p>
    <w:p w14:paraId="5A281CC9" w14:textId="59782D27" w:rsidR="001E7ECF" w:rsidRPr="001E7ECF" w:rsidRDefault="001E7ECF" w:rsidP="001E7ECF">
      <w:pPr>
        <w:spacing w:after="120" w:line="240" w:lineRule="auto"/>
        <w:jc w:val="both"/>
        <w:rPr>
          <w:rFonts w:ascii="Times New Roman" w:hAnsi="Times New Roman" w:cs="Times New Roman"/>
          <w:color w:val="000000" w:themeColor="text1"/>
          <w:sz w:val="24"/>
          <w:szCs w:val="24"/>
        </w:rPr>
      </w:pPr>
      <w:r w:rsidRPr="001E7ECF">
        <w:rPr>
          <w:rFonts w:ascii="Times New Roman" w:hAnsi="Times New Roman" w:cs="Times New Roman"/>
          <w:color w:val="000000" w:themeColor="text1"/>
          <w:sz w:val="24"/>
          <w:szCs w:val="24"/>
        </w:rPr>
        <w:t xml:space="preserve">Piedāvājums iesniedzams līdz </w:t>
      </w:r>
      <w:r w:rsidRPr="001E7ECF">
        <w:rPr>
          <w:rFonts w:ascii="Times New Roman" w:hAnsi="Times New Roman" w:cs="Times New Roman"/>
          <w:b/>
          <w:sz w:val="24"/>
          <w:szCs w:val="24"/>
        </w:rPr>
        <w:t xml:space="preserve">2021. gada </w:t>
      </w:r>
      <w:r w:rsidR="00A947C9">
        <w:rPr>
          <w:rFonts w:ascii="Times New Roman" w:hAnsi="Times New Roman" w:cs="Times New Roman"/>
          <w:b/>
          <w:sz w:val="24"/>
          <w:szCs w:val="24"/>
        </w:rPr>
        <w:t>7.</w:t>
      </w:r>
      <w:r w:rsidRPr="001E7ECF">
        <w:rPr>
          <w:rFonts w:ascii="Times New Roman" w:hAnsi="Times New Roman" w:cs="Times New Roman"/>
          <w:b/>
          <w:sz w:val="24"/>
          <w:szCs w:val="24"/>
        </w:rPr>
        <w:t xml:space="preserve"> </w:t>
      </w:r>
      <w:r w:rsidR="00B84CAC">
        <w:rPr>
          <w:rFonts w:ascii="Times New Roman" w:hAnsi="Times New Roman" w:cs="Times New Roman"/>
          <w:b/>
          <w:sz w:val="24"/>
          <w:szCs w:val="24"/>
        </w:rPr>
        <w:t>maija</w:t>
      </w:r>
      <w:r w:rsidRPr="001E7ECF">
        <w:rPr>
          <w:rFonts w:ascii="Times New Roman" w:hAnsi="Times New Roman" w:cs="Times New Roman"/>
          <w:b/>
          <w:sz w:val="24"/>
          <w:szCs w:val="24"/>
        </w:rPr>
        <w:t xml:space="preserve"> pulksten 17.00, </w:t>
      </w:r>
      <w:r w:rsidRPr="001E7ECF">
        <w:rPr>
          <w:rFonts w:ascii="Times New Roman" w:hAnsi="Times New Roman" w:cs="Times New Roman"/>
          <w:color w:val="000000" w:themeColor="text1"/>
          <w:sz w:val="24"/>
          <w:szCs w:val="24"/>
        </w:rPr>
        <w:t xml:space="preserve">nosūtot aizpildītu pieteikuma formu (2. pielikums) uz e-pastu: </w:t>
      </w:r>
      <w:hyperlink r:id="rId8" w:history="1">
        <w:r w:rsidRPr="001E7ECF">
          <w:rPr>
            <w:rStyle w:val="Hyperlink"/>
            <w:rFonts w:ascii="Times New Roman" w:hAnsi="Times New Roman" w:cs="Times New Roman"/>
            <w:sz w:val="24"/>
            <w:szCs w:val="24"/>
          </w:rPr>
          <w:t>zane.gaile@kurzemesregions.lv</w:t>
        </w:r>
      </w:hyperlink>
      <w:r w:rsidRPr="001E7ECF">
        <w:rPr>
          <w:rFonts w:ascii="Times New Roman" w:hAnsi="Times New Roman" w:cs="Times New Roman"/>
          <w:color w:val="000000" w:themeColor="text1"/>
          <w:sz w:val="24"/>
          <w:szCs w:val="24"/>
        </w:rPr>
        <w:t>.</w:t>
      </w:r>
    </w:p>
    <w:p w14:paraId="12048790" w14:textId="24782EE5" w:rsidR="00B23538" w:rsidRPr="001E7ECF" w:rsidRDefault="00B23538" w:rsidP="001E7ECF">
      <w:pPr>
        <w:pStyle w:val="ListParagraph"/>
        <w:numPr>
          <w:ilvl w:val="0"/>
          <w:numId w:val="5"/>
        </w:numPr>
        <w:spacing w:after="120" w:line="240" w:lineRule="auto"/>
        <w:jc w:val="center"/>
        <w:rPr>
          <w:rStyle w:val="Strong"/>
          <w:rFonts w:ascii="Times New Roman" w:hAnsi="Times New Roman" w:cs="Times New Roman"/>
          <w:bCs w:val="0"/>
          <w:color w:val="000000" w:themeColor="text1"/>
          <w:sz w:val="24"/>
          <w:szCs w:val="24"/>
        </w:rPr>
      </w:pPr>
      <w:r w:rsidRPr="001E7ECF">
        <w:rPr>
          <w:rStyle w:val="Strong"/>
          <w:rFonts w:ascii="Times New Roman" w:hAnsi="Times New Roman" w:cs="Times New Roman"/>
          <w:sz w:val="24"/>
          <w:szCs w:val="24"/>
        </w:rPr>
        <w:t>PIEDĀVĀJUMA IZVĒRTĒŠANA, LĒMUMA PIEŅEMŠANA UN IEPIRKUMA LĪGUMA SLĒGŠANA</w:t>
      </w:r>
    </w:p>
    <w:p w14:paraId="52D1691E" w14:textId="77777777" w:rsidR="00B23538" w:rsidRPr="001E7ECF" w:rsidRDefault="00B23538" w:rsidP="00B23538">
      <w:pPr>
        <w:spacing w:after="120" w:line="240" w:lineRule="auto"/>
        <w:rPr>
          <w:rStyle w:val="Strong"/>
          <w:rFonts w:ascii="Times New Roman" w:hAnsi="Times New Roman" w:cs="Times New Roman"/>
          <w:sz w:val="24"/>
          <w:szCs w:val="24"/>
        </w:rPr>
      </w:pPr>
      <w:r w:rsidRPr="001E7ECF">
        <w:rPr>
          <w:rStyle w:val="Strong"/>
          <w:rFonts w:ascii="Times New Roman" w:hAnsi="Times New Roman" w:cs="Times New Roman"/>
          <w:sz w:val="24"/>
          <w:szCs w:val="24"/>
        </w:rPr>
        <w:t>5.1. Piedāvājuma izvērtēšanas pamatnoteikumi</w:t>
      </w:r>
    </w:p>
    <w:p w14:paraId="46BA7A84" w14:textId="77777777" w:rsidR="00B23538" w:rsidRPr="001E7ECF"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lang w:eastAsia="lv-LV"/>
        </w:rPr>
      </w:pPr>
      <w:r w:rsidRPr="001E7ECF">
        <w:rPr>
          <w:rFonts w:ascii="Times New Roman" w:hAnsi="Times New Roman" w:cs="Times New Roman"/>
          <w:color w:val="000000"/>
          <w:sz w:val="24"/>
          <w:szCs w:val="24"/>
        </w:rPr>
        <w:t xml:space="preserve">Pēc piedāvājumu iesniegšanas termiņa beigām notiks piedāvājumu izskatīšana un izvērtēšana. </w:t>
      </w:r>
    </w:p>
    <w:p w14:paraId="7AFAF2E4"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1E7ECF">
        <w:rPr>
          <w:rFonts w:ascii="Times New Roman" w:hAnsi="Times New Roman" w:cs="Times New Roman"/>
          <w:color w:val="000000"/>
          <w:sz w:val="24"/>
          <w:szCs w:val="24"/>
        </w:rPr>
        <w:t>Tirgus izpētes veicējam, pēc piedāvājumu</w:t>
      </w:r>
      <w:r>
        <w:rPr>
          <w:rFonts w:ascii="Times New Roman" w:hAnsi="Times New Roman" w:cs="Times New Roman"/>
          <w:color w:val="000000"/>
          <w:sz w:val="24"/>
          <w:szCs w:val="24"/>
        </w:rPr>
        <w:t xml:space="preserve"> saņemšanas, ir tiesības veikt sarunas ar pretendentiem par piedāvājumu precizēšanu un/vai uzlabošanu un iepirkuma līguma noteikumiem. </w:t>
      </w:r>
    </w:p>
    <w:p w14:paraId="084505F9"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 xml:space="preserve">Tirgus izpētes veicējam jebkurā brīdī līdz galīgā lēmuma pieņemšanai par tirgus izpētes rezultātiem ir tiesības uzaicināt citus pretendentus iesniegt piedāvājumus, kā arī uzaicināt viņus uz sarunām. </w:t>
      </w:r>
    </w:p>
    <w:p w14:paraId="5B02DFB9"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 ir tiesības sarunas veikt tikai ar tiem pretendentiem, kuru iesniegtie piedāvājumi ir potenciāli visizdevīgākie. Tirgus izpētes veicējs ir tiesīgs uzsākt sarunas arī ar pretendentu, ar kuru iepriekš sarunas netika veiktas.</w:t>
      </w:r>
    </w:p>
    <w:p w14:paraId="184D93E0"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lastRenderedPageBreak/>
        <w:t xml:space="preserve">Tirgus izpētes veicējs lūdz pretendentus, ar kuriem notikušas sarunas, apstiprināt savu gala piedāvājumu, ja uzskata, ka ir iegūts tā vajadzībām atbilstošs piedāvājums. </w:t>
      </w:r>
    </w:p>
    <w:p w14:paraId="48165B45" w14:textId="3362F993" w:rsidR="00FD422B" w:rsidRPr="00FD422B" w:rsidRDefault="00B23538" w:rsidP="00FD422B">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FD422B">
        <w:rPr>
          <w:rFonts w:ascii="Times New Roman" w:hAnsi="Times New Roman" w:cs="Times New Roman"/>
          <w:color w:val="000000"/>
          <w:sz w:val="24"/>
          <w:szCs w:val="24"/>
        </w:rPr>
        <w:t>No iesniegtajiem piedāvājumiem tiks izvēlēts saimnieciski visizdevīgākais piedāvājums</w:t>
      </w:r>
      <w:r w:rsidR="00FD422B" w:rsidRPr="00FD422B">
        <w:rPr>
          <w:rFonts w:ascii="Times New Roman" w:hAnsi="Times New Roman" w:cs="Times New Roman"/>
          <w:color w:val="000000"/>
          <w:sz w:val="24"/>
          <w:szCs w:val="24"/>
        </w:rPr>
        <w:t>, kurš tiks noteikts izmantojot cenu kā vienīgo kritēriju. Piedāvājums, kurā tiks piedāvāts iepirkuma priekšmets atbilstoši Tehniskajā specifikācijā noteiktām prasībām par zemāko cenu, tiks atzīsts par saimnieciski visizdevīgāko piedāvājumu.</w:t>
      </w:r>
    </w:p>
    <w:p w14:paraId="63803977"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492973F4" w14:textId="77777777" w:rsidR="00B23538" w:rsidRDefault="00B23538" w:rsidP="00B23538">
      <w:pPr>
        <w:pStyle w:val="ListParagraph"/>
        <w:numPr>
          <w:ilvl w:val="2"/>
          <w:numId w:val="6"/>
        </w:numPr>
        <w:tabs>
          <w:tab w:val="left" w:pos="709"/>
          <w:tab w:val="left" w:pos="1276"/>
        </w:tabs>
        <w:spacing w:after="120" w:line="240" w:lineRule="auto"/>
        <w:jc w:val="both"/>
        <w:rPr>
          <w:rFonts w:ascii="Times New Roman" w:hAnsi="Times New Roman" w:cs="Times New Roman"/>
          <w:color w:val="000000"/>
          <w:sz w:val="24"/>
          <w:szCs w:val="24"/>
          <w:lang w:eastAsia="lv-LV"/>
        </w:rPr>
      </w:pPr>
      <w:r>
        <w:rPr>
          <w:rFonts w:ascii="Times New Roman" w:hAnsi="Times New Roman" w:cs="Times New Roman"/>
          <w:bCs/>
          <w:sz w:val="24"/>
          <w:szCs w:val="24"/>
        </w:rPr>
        <w:t>Ja pretendents, kurš ir iesniedzis noteikumu prasībām atbilstošu piedāvājumu, ir atzīts par uzvarētāju tirgus izpētē, nenoslēdz iepirkuma līgumu, Tirgus izpētes veicējam ir tiesības izvēlēties nākamo piedāvājumu ar zemāko cenu.</w:t>
      </w:r>
    </w:p>
    <w:p w14:paraId="56523CCB" w14:textId="77777777" w:rsidR="00B23538" w:rsidRPr="001E7ECF" w:rsidRDefault="00B23538" w:rsidP="00B23538">
      <w:pPr>
        <w:spacing w:after="120" w:line="240" w:lineRule="auto"/>
        <w:rPr>
          <w:rStyle w:val="Strong"/>
          <w:rFonts w:ascii="Times New Roman" w:hAnsi="Times New Roman" w:cs="Times New Roman"/>
        </w:rPr>
      </w:pPr>
      <w:r w:rsidRPr="001E7ECF">
        <w:rPr>
          <w:rStyle w:val="Strong"/>
          <w:rFonts w:ascii="Times New Roman" w:hAnsi="Times New Roman" w:cs="Times New Roman"/>
          <w:sz w:val="24"/>
          <w:szCs w:val="24"/>
        </w:rPr>
        <w:t>5.2. Tirgus izpētes rezultātu paziņošana</w:t>
      </w:r>
    </w:p>
    <w:p w14:paraId="2BF319D4" w14:textId="77777777" w:rsidR="00B23538" w:rsidRDefault="00B23538" w:rsidP="00B23538">
      <w:pPr>
        <w:spacing w:after="120" w:line="240" w:lineRule="auto"/>
        <w:jc w:val="both"/>
        <w:rPr>
          <w:rFonts w:ascii="Times New Roman" w:hAnsi="Times New Roman" w:cs="Times New Roman"/>
        </w:rPr>
      </w:pPr>
      <w:r>
        <w:rPr>
          <w:rFonts w:ascii="Times New Roman" w:hAnsi="Times New Roman" w:cs="Times New Roman"/>
          <w:sz w:val="24"/>
          <w:szCs w:val="24"/>
        </w:rPr>
        <w:t>Tirgus izpētes veicējs informē visus pretendentus par tirgus izpētes rezultātiem.</w:t>
      </w:r>
    </w:p>
    <w:p w14:paraId="2832AAF1" w14:textId="77777777" w:rsidR="00B23538" w:rsidRPr="001E7ECF" w:rsidRDefault="00B23538" w:rsidP="00B23538">
      <w:pPr>
        <w:spacing w:after="120" w:line="240" w:lineRule="auto"/>
        <w:rPr>
          <w:rStyle w:val="Strong"/>
          <w:rFonts w:ascii="Times New Roman" w:hAnsi="Times New Roman" w:cs="Times New Roman"/>
        </w:rPr>
      </w:pPr>
      <w:r w:rsidRPr="001E7ECF">
        <w:rPr>
          <w:rStyle w:val="Strong"/>
          <w:rFonts w:ascii="Times New Roman" w:hAnsi="Times New Roman" w:cs="Times New Roman"/>
          <w:sz w:val="24"/>
          <w:szCs w:val="24"/>
        </w:rPr>
        <w:t>5.3. Iepirkuma līguma slēgšana</w:t>
      </w:r>
    </w:p>
    <w:p w14:paraId="3AD4999F" w14:textId="77777777" w:rsidR="00B23538" w:rsidRDefault="00B23538" w:rsidP="00B23538">
      <w:pPr>
        <w:suppressAutoHyphens/>
        <w:overflowPunct w:val="0"/>
        <w:autoSpaceDE w:val="0"/>
        <w:spacing w:after="120" w:line="240" w:lineRule="auto"/>
        <w:jc w:val="both"/>
        <w:textAlignment w:val="baseline"/>
        <w:rPr>
          <w:rFonts w:ascii="Times New Roman" w:hAnsi="Times New Roman" w:cs="Times New Roman"/>
        </w:rPr>
      </w:pPr>
      <w:r>
        <w:rPr>
          <w:rFonts w:ascii="Times New Roman" w:hAnsi="Times New Roman" w:cs="Times New Roman"/>
          <w:sz w:val="24"/>
          <w:szCs w:val="24"/>
        </w:rPr>
        <w:t>Pasūtītājs slēdz iepirkuma līgumu ar pretendentu, pamatojoties uz Tehnisko specifikāciju, pretendenta iesniegto piedāvājumu, saskaņā ar šādiem noteikumiem, ja Tirgus izpētes veicējs un pretendents sarunās nav vienojušies par citiem noteikumiem:</w:t>
      </w:r>
    </w:p>
    <w:p w14:paraId="091639D6" w14:textId="182BEA7C" w:rsidR="00B23538" w:rsidRDefault="00B23538" w:rsidP="00B23538">
      <w:pPr>
        <w:pStyle w:val="ListParagraph"/>
        <w:numPr>
          <w:ilvl w:val="2"/>
          <w:numId w:val="7"/>
        </w:numPr>
        <w:suppressAutoHyphens/>
        <w:overflowPunct w:val="0"/>
        <w:autoSpaceDE w:val="0"/>
        <w:spacing w:after="120" w:line="240" w:lineRule="auto"/>
        <w:jc w:val="both"/>
        <w:textAlignment w:val="baseline"/>
        <w:rPr>
          <w:rFonts w:ascii="Times New Roman" w:hAnsi="Times New Roman" w:cs="Times New Roman"/>
        </w:rPr>
      </w:pPr>
      <w:r>
        <w:rPr>
          <w:rFonts w:ascii="Times New Roman" w:hAnsi="Times New Roman" w:cs="Times New Roman"/>
          <w:sz w:val="24"/>
          <w:szCs w:val="24"/>
        </w:rPr>
        <w:t xml:space="preserve">Piedāvātā </w:t>
      </w:r>
      <w:r w:rsidR="00B263B0">
        <w:rPr>
          <w:rFonts w:ascii="Times New Roman" w:hAnsi="Times New Roman" w:cs="Times New Roman"/>
          <w:sz w:val="24"/>
          <w:szCs w:val="24"/>
        </w:rPr>
        <w:t xml:space="preserve">maketēšanas </w:t>
      </w:r>
      <w:r>
        <w:rPr>
          <w:rFonts w:ascii="Times New Roman" w:hAnsi="Times New Roman" w:cs="Times New Roman"/>
          <w:sz w:val="24"/>
          <w:szCs w:val="24"/>
        </w:rPr>
        <w:t>pakalpojuma cena bez pievienotās vērtības nodokļa ir nemainīga visā iepirkuma līguma darbības laikā;</w:t>
      </w:r>
    </w:p>
    <w:p w14:paraId="34B58EC0" w14:textId="615AF166" w:rsidR="00B23538" w:rsidRDefault="00B263B0" w:rsidP="00B23538">
      <w:pPr>
        <w:pStyle w:val="ListParagraph"/>
        <w:numPr>
          <w:ilvl w:val="2"/>
          <w:numId w:val="7"/>
        </w:numPr>
        <w:suppressAutoHyphens/>
        <w:overflowPunct w:val="0"/>
        <w:autoSpaceDE w:val="0"/>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Par maketēšanas pakalpojumiem </w:t>
      </w:r>
      <w:r w:rsidR="00B23538">
        <w:rPr>
          <w:rFonts w:ascii="Times New Roman" w:hAnsi="Times New Roman" w:cs="Times New Roman"/>
          <w:sz w:val="24"/>
          <w:szCs w:val="24"/>
        </w:rPr>
        <w:t>Pasūtītājs n</w:t>
      </w:r>
      <w:r>
        <w:rPr>
          <w:rFonts w:ascii="Times New Roman" w:hAnsi="Times New Roman" w:cs="Times New Roman"/>
          <w:sz w:val="24"/>
          <w:szCs w:val="24"/>
        </w:rPr>
        <w:t>orēķinās ar I</w:t>
      </w:r>
      <w:r w:rsidR="00B23538">
        <w:rPr>
          <w:rFonts w:ascii="Times New Roman" w:hAnsi="Times New Roman" w:cs="Times New Roman"/>
          <w:sz w:val="24"/>
          <w:szCs w:val="24"/>
        </w:rPr>
        <w:t>zpildītāju 15 dienu laikā no rēķina izrakstīšanas un pieņemšanas – nodošanas akta parakstīšanas dienas;</w:t>
      </w:r>
    </w:p>
    <w:p w14:paraId="34322495" w14:textId="78EBCDA3" w:rsidR="00B23538" w:rsidRDefault="00B23538" w:rsidP="00B23538">
      <w:pPr>
        <w:pStyle w:val="ListParagraph"/>
        <w:numPr>
          <w:ilvl w:val="2"/>
          <w:numId w:val="7"/>
        </w:numPr>
        <w:suppressAutoHyphens/>
        <w:overflowPunct w:val="0"/>
        <w:autoSpaceDE w:val="0"/>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Pasūtītājam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pakalpojumu sniedzēju cenu aptauju, vai pieaicina nozares lietpratēju, kas var noteikt izmaksu apmēru. Izpildītājs var izteikt iebildumus pret izmaksu apmēru, bet, ja Puses nevar vienoties pasūtītāju noteiktā termiņā par izmaksu apmēru, pasūtītājiem ir tiesības nepieņemt attiecīgos pakalpojumus un neveikt to apmaksu.</w:t>
      </w:r>
      <w:bookmarkStart w:id="1" w:name="_GoBack"/>
      <w:bookmarkEnd w:id="1"/>
    </w:p>
    <w:p w14:paraId="093CE286" w14:textId="2F9D68B7" w:rsidR="00B263B0" w:rsidRPr="00723419" w:rsidRDefault="00B263B0" w:rsidP="00723419">
      <w:pPr>
        <w:pStyle w:val="ListParagraph"/>
        <w:numPr>
          <w:ilvl w:val="2"/>
          <w:numId w:val="7"/>
        </w:numPr>
        <w:suppressAutoHyphens/>
        <w:overflowPunct w:val="0"/>
        <w:autoSpaceDE w:val="0"/>
        <w:spacing w:after="120" w:line="240" w:lineRule="auto"/>
        <w:jc w:val="both"/>
        <w:textAlignment w:val="baseline"/>
        <w:rPr>
          <w:rFonts w:ascii="Times New Roman" w:hAnsi="Times New Roman" w:cs="Times New Roman"/>
          <w:sz w:val="24"/>
          <w:szCs w:val="24"/>
        </w:rPr>
      </w:pPr>
      <w:r w:rsidRPr="00723419">
        <w:rPr>
          <w:rFonts w:ascii="Times New Roman" w:hAnsi="Times New Roman" w:cs="Times New Roman"/>
          <w:sz w:val="24"/>
          <w:szCs w:val="24"/>
        </w:rPr>
        <w:t xml:space="preserve">Par fotogrāfiju iegādi no </w:t>
      </w:r>
      <w:r w:rsidR="00723419" w:rsidRPr="00723419">
        <w:rPr>
          <w:rFonts w:ascii="Times New Roman" w:hAnsi="Times New Roman" w:cs="Times New Roman"/>
          <w:sz w:val="24"/>
          <w:szCs w:val="24"/>
        </w:rPr>
        <w:t xml:space="preserve">interneta resursiem vai publiski pieejamām datu bāzēm </w:t>
      </w:r>
      <w:r w:rsidRPr="00723419">
        <w:rPr>
          <w:rFonts w:ascii="Times New Roman" w:hAnsi="Times New Roman" w:cs="Times New Roman"/>
          <w:sz w:val="24"/>
          <w:szCs w:val="24"/>
        </w:rPr>
        <w:t>Pasūtītājs norēķinās ar Izpildītāju pēc fakta, Pieņemšanas nodošanas aktā norādot iegādāto fotogrāfiju skaitu un cenu. Norēķins notiek 15 dienu laikā no rēķina izrakstīšanas un pieņemšanas – nodošanas akta parakstīšanas dienas.</w:t>
      </w:r>
    </w:p>
    <w:p w14:paraId="02B230E3" w14:textId="40C665E3" w:rsidR="00B23538" w:rsidRDefault="00B23538" w:rsidP="00B23538">
      <w:pPr>
        <w:pStyle w:val="ListParagraph"/>
        <w:numPr>
          <w:ilvl w:val="2"/>
          <w:numId w:val="7"/>
        </w:numPr>
        <w:suppressAutoHyphens/>
        <w:overflowPunct w:val="0"/>
        <w:autoSpaceDE w:val="0"/>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Iepirkuma līguma slēgšanas laiks tiks noteikts, pretendentam un Tirgus izpētes veicējam </w:t>
      </w:r>
      <w:r w:rsidR="00B263B0">
        <w:rPr>
          <w:rFonts w:ascii="Times New Roman" w:hAnsi="Times New Roman" w:cs="Times New Roman"/>
          <w:sz w:val="24"/>
          <w:szCs w:val="24"/>
        </w:rPr>
        <w:t xml:space="preserve">savstarpēji </w:t>
      </w:r>
      <w:r>
        <w:rPr>
          <w:rFonts w:ascii="Times New Roman" w:hAnsi="Times New Roman" w:cs="Times New Roman"/>
          <w:sz w:val="24"/>
          <w:szCs w:val="24"/>
        </w:rPr>
        <w:t>vienojoties.</w:t>
      </w:r>
    </w:p>
    <w:p w14:paraId="090A3641" w14:textId="77777777" w:rsidR="00B23538" w:rsidRDefault="00B23538" w:rsidP="00B23538">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67D02186" w14:textId="77777777" w:rsidR="00B23538" w:rsidRDefault="00B23538" w:rsidP="00B23538">
      <w:pPr>
        <w:spacing w:after="120" w:line="240" w:lineRule="auto"/>
        <w:jc w:val="both"/>
        <w:rPr>
          <w:rFonts w:ascii="Times New Roman" w:hAnsi="Times New Roman" w:cs="Times New Roman"/>
          <w:color w:val="000000" w:themeColor="text1"/>
          <w:sz w:val="24"/>
          <w:szCs w:val="24"/>
        </w:rPr>
      </w:pPr>
    </w:p>
    <w:p w14:paraId="36A2EE35" w14:textId="77777777" w:rsidR="00B23538" w:rsidRDefault="00B23538" w:rsidP="00B23538">
      <w:pPr>
        <w:rPr>
          <w:rFonts w:ascii="Times New Roman" w:hAnsi="Times New Roman" w:cs="Times New Roman"/>
          <w:color w:val="000000" w:themeColor="text1"/>
          <w:sz w:val="24"/>
          <w:szCs w:val="24"/>
        </w:rPr>
      </w:pPr>
    </w:p>
    <w:p w14:paraId="1EE9F801" w14:textId="77777777" w:rsidR="00FD422B" w:rsidRDefault="00FD422B" w:rsidP="00AD2C83">
      <w:pPr>
        <w:spacing w:before="120" w:after="120" w:line="240" w:lineRule="auto"/>
        <w:ind w:left="360"/>
        <w:jc w:val="right"/>
        <w:rPr>
          <w:rFonts w:ascii="Times New Roman" w:hAnsi="Times New Roman" w:cs="Times New Roman"/>
          <w:b/>
          <w:color w:val="000000" w:themeColor="text1"/>
          <w:sz w:val="24"/>
          <w:szCs w:val="24"/>
        </w:rPr>
      </w:pPr>
    </w:p>
    <w:p w14:paraId="63DED3FD" w14:textId="77777777" w:rsidR="00FD422B" w:rsidRDefault="00FD422B" w:rsidP="00AD2C83">
      <w:pPr>
        <w:spacing w:before="120" w:after="120" w:line="240" w:lineRule="auto"/>
        <w:ind w:left="360"/>
        <w:jc w:val="right"/>
        <w:rPr>
          <w:rFonts w:ascii="Times New Roman" w:hAnsi="Times New Roman" w:cs="Times New Roman"/>
          <w:b/>
          <w:color w:val="000000" w:themeColor="text1"/>
          <w:sz w:val="24"/>
          <w:szCs w:val="24"/>
        </w:rPr>
      </w:pPr>
    </w:p>
    <w:p w14:paraId="5ECE3358" w14:textId="77777777" w:rsidR="00FD422B" w:rsidRDefault="00FD422B" w:rsidP="00AD2C83">
      <w:pPr>
        <w:spacing w:before="120" w:after="120" w:line="240" w:lineRule="auto"/>
        <w:ind w:left="360"/>
        <w:jc w:val="right"/>
        <w:rPr>
          <w:rFonts w:ascii="Times New Roman" w:hAnsi="Times New Roman" w:cs="Times New Roman"/>
          <w:b/>
          <w:color w:val="000000" w:themeColor="text1"/>
          <w:sz w:val="24"/>
          <w:szCs w:val="24"/>
        </w:rPr>
      </w:pPr>
    </w:p>
    <w:p w14:paraId="092DEAC1" w14:textId="77777777" w:rsidR="00FD422B" w:rsidRDefault="00FD422B" w:rsidP="00AD2C83">
      <w:pPr>
        <w:spacing w:before="120" w:after="120" w:line="240" w:lineRule="auto"/>
        <w:ind w:left="360"/>
        <w:jc w:val="right"/>
        <w:rPr>
          <w:rFonts w:ascii="Times New Roman" w:hAnsi="Times New Roman" w:cs="Times New Roman"/>
          <w:b/>
          <w:color w:val="000000" w:themeColor="text1"/>
          <w:sz w:val="24"/>
          <w:szCs w:val="24"/>
        </w:rPr>
      </w:pPr>
    </w:p>
    <w:p w14:paraId="58E1618F" w14:textId="77777777" w:rsidR="00FD422B" w:rsidRDefault="00FD422B" w:rsidP="00AD2C83">
      <w:pPr>
        <w:spacing w:before="120" w:after="120" w:line="240" w:lineRule="auto"/>
        <w:ind w:left="360"/>
        <w:jc w:val="right"/>
        <w:rPr>
          <w:rFonts w:ascii="Times New Roman" w:hAnsi="Times New Roman" w:cs="Times New Roman"/>
          <w:b/>
          <w:color w:val="000000" w:themeColor="text1"/>
          <w:sz w:val="24"/>
          <w:szCs w:val="24"/>
        </w:rPr>
      </w:pPr>
    </w:p>
    <w:p w14:paraId="58192FB6" w14:textId="4193A9AE" w:rsidR="00AD2C83" w:rsidRPr="00FD422B" w:rsidRDefault="00D96533" w:rsidP="00FD422B">
      <w:pPr>
        <w:spacing w:after="0" w:line="240" w:lineRule="auto"/>
        <w:ind w:left="357"/>
        <w:jc w:val="right"/>
        <w:rPr>
          <w:rFonts w:ascii="Times New Roman" w:hAnsi="Times New Roman" w:cs="Times New Roman"/>
          <w:b/>
          <w:color w:val="000000" w:themeColor="text1"/>
          <w:sz w:val="24"/>
          <w:szCs w:val="24"/>
        </w:rPr>
      </w:pPr>
      <w:bookmarkStart w:id="2" w:name="_Hlk61026719"/>
      <w:r w:rsidRPr="00FD422B">
        <w:rPr>
          <w:rFonts w:ascii="Times New Roman" w:hAnsi="Times New Roman" w:cs="Times New Roman"/>
          <w:b/>
          <w:color w:val="000000" w:themeColor="text1"/>
          <w:sz w:val="24"/>
          <w:szCs w:val="24"/>
        </w:rPr>
        <w:t>1.Pielikums</w:t>
      </w:r>
    </w:p>
    <w:p w14:paraId="4DA9A93A" w14:textId="1CB80483" w:rsidR="00AD2C83" w:rsidRPr="00FD422B" w:rsidRDefault="00AD2C83" w:rsidP="00FD422B">
      <w:pPr>
        <w:spacing w:after="0" w:line="240" w:lineRule="auto"/>
        <w:ind w:left="357"/>
        <w:jc w:val="right"/>
        <w:rPr>
          <w:rFonts w:ascii="Times New Roman" w:hAnsi="Times New Roman" w:cs="Times New Roman"/>
          <w:bCs/>
          <w:color w:val="000000" w:themeColor="text1"/>
          <w:sz w:val="24"/>
          <w:szCs w:val="24"/>
        </w:rPr>
      </w:pPr>
      <w:r w:rsidRPr="00FD422B">
        <w:rPr>
          <w:rFonts w:ascii="Times New Roman" w:hAnsi="Times New Roman" w:cs="Times New Roman"/>
          <w:bCs/>
          <w:color w:val="000000" w:themeColor="text1"/>
          <w:sz w:val="24"/>
          <w:szCs w:val="24"/>
        </w:rPr>
        <w:t>Tirgus izpētes noteikumiem</w:t>
      </w:r>
    </w:p>
    <w:p w14:paraId="5A91DC19" w14:textId="078E0DF3" w:rsidR="00AD2C83" w:rsidRPr="00FD422B" w:rsidRDefault="004A546B" w:rsidP="00FD422B">
      <w:pPr>
        <w:spacing w:after="0" w:line="240" w:lineRule="auto"/>
        <w:ind w:left="357"/>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w:t>
      </w:r>
      <w:r w:rsidR="00AD2C83" w:rsidRPr="00FD422B">
        <w:rPr>
          <w:rFonts w:ascii="Times New Roman" w:hAnsi="Times New Roman" w:cs="Times New Roman"/>
          <w:bCs/>
          <w:color w:val="000000" w:themeColor="text1"/>
          <w:sz w:val="24"/>
          <w:szCs w:val="24"/>
        </w:rPr>
        <w:t>artes maketēšanas pakalpojumiem</w:t>
      </w:r>
    </w:p>
    <w:bookmarkEnd w:id="2"/>
    <w:p w14:paraId="03B2D2F5" w14:textId="2A77FC5C" w:rsidR="00B23538" w:rsidRDefault="00D96533" w:rsidP="005C7C0D">
      <w:pPr>
        <w:spacing w:before="120" w:after="120" w:line="240" w:lineRule="auto"/>
        <w:ind w:left="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TEHNISKĀ SPECIFIKĀCIJA</w:t>
      </w:r>
    </w:p>
    <w:p w14:paraId="0DD14D52" w14:textId="20EEF93B" w:rsidR="00AD2C83" w:rsidRPr="005C7C0D" w:rsidRDefault="00FC5145" w:rsidP="005C7C0D">
      <w:pPr>
        <w:spacing w:before="120" w:after="120" w:line="240" w:lineRule="auto"/>
        <w:ind w:left="360"/>
        <w:jc w:val="center"/>
        <w:rPr>
          <w:rFonts w:ascii="Times New Roman" w:hAnsi="Times New Roman" w:cs="Times New Roman"/>
          <w:b/>
          <w:i/>
          <w:iCs/>
          <w:color w:val="000000" w:themeColor="text1"/>
          <w:sz w:val="24"/>
          <w:szCs w:val="24"/>
        </w:rPr>
      </w:pPr>
      <w:r w:rsidRPr="005C7C0D">
        <w:rPr>
          <w:rFonts w:ascii="Times New Roman" w:hAnsi="Times New Roman" w:cs="Times New Roman"/>
          <w:b/>
          <w:i/>
          <w:iCs/>
          <w:color w:val="000000" w:themeColor="text1"/>
          <w:sz w:val="24"/>
          <w:szCs w:val="24"/>
        </w:rPr>
        <w:t xml:space="preserve">kartes </w:t>
      </w:r>
      <w:r w:rsidR="004A3C41" w:rsidRPr="005C7C0D">
        <w:rPr>
          <w:rFonts w:ascii="Times New Roman" w:hAnsi="Times New Roman" w:cs="Times New Roman"/>
          <w:b/>
          <w:i/>
          <w:iCs/>
          <w:color w:val="000000" w:themeColor="text1"/>
          <w:sz w:val="24"/>
          <w:szCs w:val="24"/>
        </w:rPr>
        <w:t>“</w:t>
      </w:r>
      <w:r w:rsidR="00C6666C">
        <w:rPr>
          <w:rFonts w:ascii="Times New Roman" w:hAnsi="Times New Roman" w:cs="Times New Roman"/>
          <w:b/>
          <w:i/>
          <w:iCs/>
          <w:color w:val="000000" w:themeColor="text1"/>
          <w:sz w:val="24"/>
          <w:szCs w:val="24"/>
        </w:rPr>
        <w:t>Central Baltic Small Ports</w:t>
      </w:r>
      <w:r w:rsidR="004A3C41" w:rsidRPr="005C7C0D">
        <w:rPr>
          <w:rFonts w:ascii="Times New Roman" w:hAnsi="Times New Roman" w:cs="Times New Roman"/>
          <w:b/>
          <w:i/>
          <w:iCs/>
          <w:color w:val="000000" w:themeColor="text1"/>
          <w:sz w:val="24"/>
          <w:szCs w:val="24"/>
        </w:rPr>
        <w:t>”</w:t>
      </w:r>
      <w:r w:rsidRPr="005C7C0D">
        <w:rPr>
          <w:rFonts w:ascii="Times New Roman" w:hAnsi="Times New Roman" w:cs="Times New Roman"/>
          <w:b/>
          <w:i/>
          <w:iCs/>
          <w:color w:val="000000" w:themeColor="text1"/>
          <w:sz w:val="24"/>
          <w:szCs w:val="24"/>
        </w:rPr>
        <w:t xml:space="preserve"> maketēšana</w:t>
      </w:r>
    </w:p>
    <w:p w14:paraId="066D672A" w14:textId="1E62AF1D" w:rsidR="00E42F00" w:rsidRPr="004A3C41" w:rsidRDefault="00E42F00" w:rsidP="004A3C41">
      <w:pPr>
        <w:spacing w:before="120" w:after="12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Darba uzdevums</w:t>
      </w:r>
    </w:p>
    <w:p w14:paraId="11CCF7D1" w14:textId="3A49B0BC" w:rsidR="00FC5145" w:rsidRPr="004A3C41" w:rsidRDefault="00FC5145" w:rsidP="004A3C41">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 xml:space="preserve">Izpildītājs sagatavo </w:t>
      </w:r>
      <w:bookmarkStart w:id="3" w:name="_Hlk61021045"/>
      <w:r w:rsidRPr="004A3C41">
        <w:rPr>
          <w:rFonts w:ascii="Times New Roman" w:hAnsi="Times New Roman" w:cs="Times New Roman"/>
          <w:color w:val="000000" w:themeColor="text1"/>
          <w:sz w:val="24"/>
          <w:szCs w:val="24"/>
        </w:rPr>
        <w:t>maketu</w:t>
      </w:r>
      <w:r w:rsidR="00D67BC0">
        <w:rPr>
          <w:rFonts w:ascii="Times New Roman" w:hAnsi="Times New Roman" w:cs="Times New Roman"/>
          <w:color w:val="000000" w:themeColor="text1"/>
          <w:sz w:val="24"/>
          <w:szCs w:val="24"/>
        </w:rPr>
        <w:t xml:space="preserve"> </w:t>
      </w:r>
      <w:r w:rsidRPr="004A3C41">
        <w:rPr>
          <w:rFonts w:ascii="Times New Roman" w:hAnsi="Times New Roman" w:cs="Times New Roman"/>
          <w:color w:val="000000" w:themeColor="text1"/>
          <w:sz w:val="24"/>
          <w:szCs w:val="24"/>
        </w:rPr>
        <w:t>kartei “</w:t>
      </w:r>
      <w:r w:rsidR="00D67BC0">
        <w:rPr>
          <w:rFonts w:ascii="Times New Roman" w:hAnsi="Times New Roman" w:cs="Times New Roman"/>
          <w:color w:val="000000" w:themeColor="text1"/>
          <w:sz w:val="24"/>
          <w:szCs w:val="24"/>
        </w:rPr>
        <w:t>Central Baltic Small Ports</w:t>
      </w:r>
      <w:r w:rsidR="001E0126">
        <w:rPr>
          <w:rFonts w:ascii="Times New Roman" w:hAnsi="Times New Roman" w:cs="Times New Roman"/>
          <w:color w:val="000000" w:themeColor="text1"/>
          <w:sz w:val="24"/>
          <w:szCs w:val="24"/>
        </w:rPr>
        <w:t>”</w:t>
      </w:r>
      <w:r w:rsidR="00E42F00">
        <w:rPr>
          <w:rFonts w:ascii="Times New Roman" w:hAnsi="Times New Roman" w:cs="Times New Roman"/>
          <w:color w:val="000000" w:themeColor="text1"/>
          <w:sz w:val="24"/>
          <w:szCs w:val="24"/>
        </w:rPr>
        <w:t xml:space="preserve"> </w:t>
      </w:r>
      <w:r w:rsidRPr="004A3C41">
        <w:rPr>
          <w:rFonts w:ascii="Times New Roman" w:hAnsi="Times New Roman" w:cs="Times New Roman"/>
          <w:color w:val="000000" w:themeColor="text1"/>
          <w:sz w:val="24"/>
          <w:szCs w:val="24"/>
        </w:rPr>
        <w:t xml:space="preserve">saskaņā ar zemāk minētajām prasībām. </w:t>
      </w:r>
      <w:bookmarkEnd w:id="3"/>
      <w:r w:rsidR="00B249CD">
        <w:rPr>
          <w:rFonts w:ascii="Times New Roman" w:hAnsi="Times New Roman" w:cs="Times New Roman"/>
          <w:color w:val="000000" w:themeColor="text1"/>
          <w:sz w:val="24"/>
          <w:szCs w:val="24"/>
        </w:rPr>
        <w:t>Maket</w:t>
      </w:r>
      <w:r w:rsidR="00D67BC0">
        <w:rPr>
          <w:rFonts w:ascii="Times New Roman" w:hAnsi="Times New Roman" w:cs="Times New Roman"/>
          <w:color w:val="000000" w:themeColor="text1"/>
          <w:sz w:val="24"/>
          <w:szCs w:val="24"/>
        </w:rPr>
        <w:t>s</w:t>
      </w:r>
      <w:r w:rsidR="00B249CD">
        <w:rPr>
          <w:rFonts w:ascii="Times New Roman" w:hAnsi="Times New Roman" w:cs="Times New Roman"/>
          <w:color w:val="000000" w:themeColor="text1"/>
          <w:sz w:val="24"/>
          <w:szCs w:val="24"/>
        </w:rPr>
        <w:t xml:space="preserve"> izstrādājam</w:t>
      </w:r>
      <w:r w:rsidR="00D67BC0">
        <w:rPr>
          <w:rFonts w:ascii="Times New Roman" w:hAnsi="Times New Roman" w:cs="Times New Roman"/>
          <w:color w:val="000000" w:themeColor="text1"/>
          <w:sz w:val="24"/>
          <w:szCs w:val="24"/>
        </w:rPr>
        <w:t>s</w:t>
      </w:r>
      <w:r w:rsidRPr="004A3C41">
        <w:rPr>
          <w:rFonts w:ascii="Times New Roman" w:hAnsi="Times New Roman" w:cs="Times New Roman"/>
          <w:color w:val="000000" w:themeColor="text1"/>
          <w:sz w:val="24"/>
          <w:szCs w:val="24"/>
        </w:rPr>
        <w:t xml:space="preserve"> angļu valodā. Pasūtītājs nodrošina tekstuālo informāciju MS Word</w:t>
      </w:r>
      <w:r w:rsidR="00B249CD">
        <w:rPr>
          <w:rFonts w:ascii="Times New Roman" w:hAnsi="Times New Roman" w:cs="Times New Roman"/>
          <w:color w:val="000000" w:themeColor="text1"/>
          <w:sz w:val="24"/>
          <w:szCs w:val="24"/>
        </w:rPr>
        <w:t xml:space="preserve"> </w:t>
      </w:r>
      <w:r w:rsidRPr="004A3C41">
        <w:rPr>
          <w:rFonts w:ascii="Times New Roman" w:hAnsi="Times New Roman" w:cs="Times New Roman"/>
          <w:color w:val="000000" w:themeColor="text1"/>
          <w:sz w:val="24"/>
          <w:szCs w:val="24"/>
        </w:rPr>
        <w:t>un</w:t>
      </w:r>
      <w:r w:rsidR="00B84CAC">
        <w:rPr>
          <w:rFonts w:ascii="Times New Roman" w:hAnsi="Times New Roman" w:cs="Times New Roman"/>
          <w:color w:val="000000" w:themeColor="text1"/>
          <w:sz w:val="24"/>
          <w:szCs w:val="24"/>
        </w:rPr>
        <w:t>/vai</w:t>
      </w:r>
      <w:r w:rsidRPr="004A3C41">
        <w:rPr>
          <w:rFonts w:ascii="Times New Roman" w:hAnsi="Times New Roman" w:cs="Times New Roman"/>
          <w:color w:val="000000" w:themeColor="text1"/>
          <w:sz w:val="24"/>
          <w:szCs w:val="24"/>
        </w:rPr>
        <w:t xml:space="preserve"> MS Excel formātā</w:t>
      </w:r>
      <w:r w:rsidR="00B249CD">
        <w:rPr>
          <w:rFonts w:ascii="Times New Roman" w:hAnsi="Times New Roman" w:cs="Times New Roman"/>
          <w:color w:val="000000" w:themeColor="text1"/>
          <w:sz w:val="24"/>
          <w:szCs w:val="24"/>
        </w:rPr>
        <w:t xml:space="preserve"> angļu valodā</w:t>
      </w:r>
      <w:r w:rsidRPr="004A3C41">
        <w:rPr>
          <w:rFonts w:ascii="Times New Roman" w:hAnsi="Times New Roman" w:cs="Times New Roman"/>
          <w:color w:val="000000" w:themeColor="text1"/>
          <w:sz w:val="24"/>
          <w:szCs w:val="24"/>
        </w:rPr>
        <w:t xml:space="preserve"> un </w:t>
      </w:r>
      <w:r w:rsidR="00D67BC0">
        <w:rPr>
          <w:rFonts w:ascii="Times New Roman" w:hAnsi="Times New Roman" w:cs="Times New Roman"/>
          <w:color w:val="000000" w:themeColor="text1"/>
          <w:sz w:val="24"/>
          <w:szCs w:val="24"/>
        </w:rPr>
        <w:t xml:space="preserve">daļu nepieciešamo </w:t>
      </w:r>
      <w:r w:rsidRPr="004A3C41">
        <w:rPr>
          <w:rFonts w:ascii="Times New Roman" w:hAnsi="Times New Roman" w:cs="Times New Roman"/>
          <w:color w:val="000000" w:themeColor="text1"/>
          <w:sz w:val="24"/>
          <w:szCs w:val="24"/>
        </w:rPr>
        <w:t>fotogrāfij</w:t>
      </w:r>
      <w:r w:rsidR="00D67BC0">
        <w:rPr>
          <w:rFonts w:ascii="Times New Roman" w:hAnsi="Times New Roman" w:cs="Times New Roman"/>
          <w:color w:val="000000" w:themeColor="text1"/>
          <w:sz w:val="24"/>
          <w:szCs w:val="24"/>
        </w:rPr>
        <w:t xml:space="preserve">u </w:t>
      </w:r>
      <w:r w:rsidRPr="004A3C41">
        <w:rPr>
          <w:rFonts w:ascii="Times New Roman" w:hAnsi="Times New Roman" w:cs="Times New Roman"/>
          <w:color w:val="000000" w:themeColor="text1"/>
          <w:sz w:val="24"/>
          <w:szCs w:val="24"/>
        </w:rPr>
        <w:t xml:space="preserve">digitālā formātā. </w:t>
      </w:r>
    </w:p>
    <w:p w14:paraId="5564A7EA" w14:textId="032C9E53" w:rsidR="004A3C41" w:rsidRDefault="00D67BC0" w:rsidP="009F1E0E">
      <w:pPr>
        <w:pStyle w:val="ListParagraph"/>
        <w:numPr>
          <w:ilvl w:val="0"/>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Maketa</w:t>
      </w:r>
      <w:r w:rsidR="00FC5145" w:rsidRPr="004A3C41">
        <w:rPr>
          <w:rFonts w:ascii="Times New Roman" w:hAnsi="Times New Roman" w:cs="Times New Roman"/>
          <w:color w:val="000000" w:themeColor="text1"/>
          <w:sz w:val="24"/>
          <w:szCs w:val="24"/>
        </w:rPr>
        <w:t>m jābūt sag</w:t>
      </w:r>
      <w:r w:rsidR="00B249CD">
        <w:rPr>
          <w:rFonts w:ascii="Times New Roman" w:hAnsi="Times New Roman" w:cs="Times New Roman"/>
          <w:color w:val="000000" w:themeColor="text1"/>
          <w:sz w:val="24"/>
          <w:szCs w:val="24"/>
        </w:rPr>
        <w:t>atavotie</w:t>
      </w:r>
      <w:r w:rsidR="00FC5145" w:rsidRPr="004A3C41">
        <w:rPr>
          <w:rFonts w:ascii="Times New Roman" w:hAnsi="Times New Roman" w:cs="Times New Roman"/>
          <w:color w:val="000000" w:themeColor="text1"/>
          <w:sz w:val="24"/>
          <w:szCs w:val="24"/>
        </w:rPr>
        <w:t>m formātā, kāds nepiec</w:t>
      </w:r>
      <w:r w:rsidR="004A3C41" w:rsidRPr="004A3C41">
        <w:rPr>
          <w:rFonts w:ascii="Times New Roman" w:hAnsi="Times New Roman" w:cs="Times New Roman"/>
          <w:color w:val="000000" w:themeColor="text1"/>
          <w:sz w:val="24"/>
          <w:szCs w:val="24"/>
        </w:rPr>
        <w:t>iešams iespieddarbu uzsākšanai</w:t>
      </w:r>
      <w:r w:rsidR="004A3C41">
        <w:rPr>
          <w:rFonts w:ascii="Times New Roman" w:hAnsi="Times New Roman" w:cs="Times New Roman"/>
          <w:color w:val="000000" w:themeColor="text1"/>
          <w:sz w:val="24"/>
          <w:szCs w:val="24"/>
        </w:rPr>
        <w:t>,</w:t>
      </w:r>
      <w:r w:rsidR="00B249CD">
        <w:rPr>
          <w:rFonts w:ascii="Times New Roman" w:hAnsi="Times New Roman" w:cs="Times New Roman"/>
          <w:color w:val="000000" w:themeColor="text1"/>
          <w:sz w:val="24"/>
          <w:szCs w:val="24"/>
        </w:rPr>
        <w:t xml:space="preserve"> kā arī internetā ievietojam</w:t>
      </w:r>
      <w:r>
        <w:rPr>
          <w:rFonts w:ascii="Times New Roman" w:hAnsi="Times New Roman" w:cs="Times New Roman"/>
          <w:color w:val="000000" w:themeColor="text1"/>
          <w:sz w:val="24"/>
          <w:szCs w:val="24"/>
        </w:rPr>
        <w:t>a</w:t>
      </w:r>
      <w:r w:rsidR="00B249CD">
        <w:rPr>
          <w:rFonts w:ascii="Times New Roman" w:hAnsi="Times New Roman" w:cs="Times New Roman"/>
          <w:color w:val="000000" w:themeColor="text1"/>
          <w:sz w:val="24"/>
          <w:szCs w:val="24"/>
        </w:rPr>
        <w:t>m pdf materiāl</w:t>
      </w:r>
      <w:r>
        <w:rPr>
          <w:rFonts w:ascii="Times New Roman" w:hAnsi="Times New Roman" w:cs="Times New Roman"/>
          <w:color w:val="000000" w:themeColor="text1"/>
          <w:sz w:val="24"/>
          <w:szCs w:val="24"/>
        </w:rPr>
        <w:t>a</w:t>
      </w:r>
      <w:r w:rsidR="004A3C41" w:rsidRPr="004A3C41">
        <w:rPr>
          <w:rFonts w:ascii="Times New Roman" w:hAnsi="Times New Roman" w:cs="Times New Roman"/>
          <w:color w:val="000000" w:themeColor="text1"/>
          <w:sz w:val="24"/>
          <w:szCs w:val="24"/>
        </w:rPr>
        <w:t xml:space="preserve">m. </w:t>
      </w:r>
    </w:p>
    <w:p w14:paraId="7D531C05" w14:textId="77777777" w:rsidR="004F1D19" w:rsidRPr="00BC111F" w:rsidRDefault="004F1D19" w:rsidP="004F1D19">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BC111F">
        <w:rPr>
          <w:rFonts w:ascii="Times New Roman" w:hAnsi="Times New Roman" w:cs="Times New Roman"/>
          <w:color w:val="000000" w:themeColor="text1"/>
          <w:sz w:val="24"/>
          <w:szCs w:val="24"/>
        </w:rPr>
        <w:t>Piktogrammu</w:t>
      </w:r>
      <w:r>
        <w:rPr>
          <w:rFonts w:ascii="Times New Roman" w:hAnsi="Times New Roman" w:cs="Times New Roman"/>
          <w:color w:val="000000" w:themeColor="text1"/>
          <w:sz w:val="24"/>
          <w:szCs w:val="24"/>
        </w:rPr>
        <w:t xml:space="preserve"> un citu grafisko dizaina elementu </w:t>
      </w:r>
      <w:r w:rsidRPr="00BC111F">
        <w:rPr>
          <w:rFonts w:ascii="Times New Roman" w:hAnsi="Times New Roman" w:cs="Times New Roman"/>
          <w:color w:val="000000" w:themeColor="text1"/>
          <w:sz w:val="24"/>
          <w:szCs w:val="24"/>
        </w:rPr>
        <w:t xml:space="preserve"> izveidi veic Izpildītājs.</w:t>
      </w:r>
    </w:p>
    <w:p w14:paraId="726783A5" w14:textId="77777777" w:rsidR="00FC5145" w:rsidRPr="004A3C41" w:rsidRDefault="00FC5145" w:rsidP="004A3C41">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 xml:space="preserve">Izpildītājam jānodrošina izdevumā iekļaujamo fotoattēlu apstrāde. </w:t>
      </w:r>
    </w:p>
    <w:p w14:paraId="26622613" w14:textId="77777777" w:rsidR="004F1D19" w:rsidRPr="00723419" w:rsidRDefault="004F1D19" w:rsidP="004F1D19">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 xml:space="preserve">Izpildītājam jānodrošina Pasūtītājam iespēju </w:t>
      </w:r>
      <w:r>
        <w:rPr>
          <w:rFonts w:ascii="Times New Roman" w:hAnsi="Times New Roman" w:cs="Times New Roman"/>
          <w:color w:val="000000" w:themeColor="text1"/>
          <w:sz w:val="24"/>
          <w:szCs w:val="24"/>
        </w:rPr>
        <w:t>līdz 5</w:t>
      </w:r>
      <w:r w:rsidRPr="004A3C41">
        <w:rPr>
          <w:rFonts w:ascii="Times New Roman" w:hAnsi="Times New Roman" w:cs="Times New Roman"/>
          <w:color w:val="000000" w:themeColor="text1"/>
          <w:sz w:val="24"/>
          <w:szCs w:val="24"/>
        </w:rPr>
        <w:t xml:space="preserve"> reiz</w:t>
      </w:r>
      <w:r>
        <w:rPr>
          <w:rFonts w:ascii="Times New Roman" w:hAnsi="Times New Roman" w:cs="Times New Roman"/>
          <w:color w:val="000000" w:themeColor="text1"/>
          <w:sz w:val="24"/>
          <w:szCs w:val="24"/>
        </w:rPr>
        <w:t>ēm</w:t>
      </w:r>
      <w:r w:rsidRPr="004A3C41">
        <w:rPr>
          <w:rFonts w:ascii="Times New Roman" w:hAnsi="Times New Roman" w:cs="Times New Roman"/>
          <w:color w:val="000000" w:themeColor="text1"/>
          <w:sz w:val="24"/>
          <w:szCs w:val="24"/>
        </w:rPr>
        <w:t xml:space="preserve"> veikt iesūtītās </w:t>
      </w:r>
      <w:r w:rsidRPr="00723419">
        <w:rPr>
          <w:rFonts w:ascii="Times New Roman" w:hAnsi="Times New Roman" w:cs="Times New Roman"/>
          <w:color w:val="000000" w:themeColor="text1"/>
          <w:sz w:val="24"/>
          <w:szCs w:val="24"/>
        </w:rPr>
        <w:t>tekstuālās informācijas redakcionālu labošanu vai maiņu un fotogrāfiju maiņu.</w:t>
      </w:r>
    </w:p>
    <w:p w14:paraId="6B62B10A" w14:textId="228D23BB" w:rsidR="00A9046D" w:rsidRPr="00723419" w:rsidRDefault="00A9046D" w:rsidP="00723419">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723419">
        <w:rPr>
          <w:rFonts w:ascii="Times New Roman" w:hAnsi="Times New Roman" w:cs="Times New Roman"/>
          <w:color w:val="000000" w:themeColor="text1"/>
          <w:sz w:val="24"/>
          <w:szCs w:val="24"/>
        </w:rPr>
        <w:t>Izpildītājam jāparedz līdz 10 fotogrāfiju atrašana</w:t>
      </w:r>
      <w:r w:rsidR="00B263B0" w:rsidRPr="00723419">
        <w:rPr>
          <w:rFonts w:ascii="Times New Roman" w:hAnsi="Times New Roman" w:cs="Times New Roman"/>
          <w:color w:val="000000" w:themeColor="text1"/>
          <w:sz w:val="24"/>
          <w:szCs w:val="24"/>
        </w:rPr>
        <w:t xml:space="preserve"> un iegāde</w:t>
      </w:r>
      <w:r w:rsidRPr="00723419">
        <w:rPr>
          <w:rFonts w:ascii="Times New Roman" w:hAnsi="Times New Roman" w:cs="Times New Roman"/>
          <w:color w:val="000000" w:themeColor="text1"/>
          <w:sz w:val="24"/>
          <w:szCs w:val="24"/>
        </w:rPr>
        <w:t xml:space="preserve"> </w:t>
      </w:r>
      <w:r w:rsidR="00723419" w:rsidRPr="00723419">
        <w:rPr>
          <w:rFonts w:ascii="Times New Roman" w:hAnsi="Times New Roman" w:cs="Times New Roman"/>
          <w:color w:val="000000" w:themeColor="text1"/>
          <w:sz w:val="24"/>
          <w:szCs w:val="24"/>
        </w:rPr>
        <w:t>no interneta resursiem vai publiski pieejamām datu bāzēm</w:t>
      </w:r>
      <w:r w:rsidRPr="00723419">
        <w:rPr>
          <w:rFonts w:ascii="Times New Roman" w:hAnsi="Times New Roman" w:cs="Times New Roman"/>
          <w:color w:val="000000" w:themeColor="text1"/>
          <w:sz w:val="24"/>
          <w:szCs w:val="24"/>
        </w:rPr>
        <w:t xml:space="preserve">. </w:t>
      </w:r>
    </w:p>
    <w:p w14:paraId="10C7F0D3" w14:textId="3118C505" w:rsidR="00A9046D" w:rsidRPr="00723419" w:rsidRDefault="00A9046D" w:rsidP="00A9046D">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723419">
        <w:rPr>
          <w:rFonts w:ascii="Times New Roman" w:hAnsi="Times New Roman" w:cs="Times New Roman"/>
          <w:color w:val="000000" w:themeColor="text1"/>
          <w:sz w:val="24"/>
          <w:szCs w:val="24"/>
        </w:rPr>
        <w:t>Fotogrāfiju iegādes izdevumi netiek iekļauti maketēšanas darbu tāmē, bet par to iegādi tiek parakstīts atsevišķs Pieņemšanas nodošanas akts, un Pasūtītājs norēķinās atsevišķi, pēc fakta.</w:t>
      </w:r>
    </w:p>
    <w:p w14:paraId="130338C4" w14:textId="52A532CC" w:rsidR="00FC5145" w:rsidRPr="004F1D19" w:rsidRDefault="004A3C41" w:rsidP="004F1D19">
      <w:pPr>
        <w:pStyle w:val="ListParagraph"/>
        <w:numPr>
          <w:ilvl w:val="0"/>
          <w:numId w:val="3"/>
        </w:numPr>
        <w:spacing w:after="120" w:line="240" w:lineRule="auto"/>
        <w:jc w:val="both"/>
        <w:rPr>
          <w:rFonts w:ascii="Times New Roman" w:hAnsi="Times New Roman" w:cs="Times New Roman"/>
          <w:b/>
          <w:color w:val="000000" w:themeColor="text1"/>
          <w:sz w:val="24"/>
          <w:szCs w:val="24"/>
        </w:rPr>
      </w:pPr>
      <w:r w:rsidRPr="004F1D19">
        <w:rPr>
          <w:rFonts w:ascii="Times New Roman" w:hAnsi="Times New Roman" w:cs="Times New Roman"/>
          <w:b/>
          <w:color w:val="000000" w:themeColor="text1"/>
          <w:sz w:val="24"/>
          <w:szCs w:val="24"/>
        </w:rPr>
        <w:t>Uzbūve</w:t>
      </w:r>
      <w:r w:rsidR="00D33D52" w:rsidRPr="004F1D19">
        <w:rPr>
          <w:rFonts w:ascii="Times New Roman" w:hAnsi="Times New Roman" w:cs="Times New Roman"/>
          <w:b/>
          <w:color w:val="000000" w:themeColor="text1"/>
          <w:sz w:val="24"/>
          <w:szCs w:val="24"/>
        </w:rPr>
        <w:t xml:space="preserve"> un apjoms</w:t>
      </w:r>
      <w:r w:rsidRPr="004F1D19">
        <w:rPr>
          <w:rFonts w:ascii="Times New Roman" w:hAnsi="Times New Roman" w:cs="Times New Roman"/>
          <w:b/>
          <w:color w:val="000000" w:themeColor="text1"/>
          <w:sz w:val="24"/>
          <w:szCs w:val="24"/>
        </w:rPr>
        <w:t xml:space="preserve"> k</w:t>
      </w:r>
      <w:r w:rsidR="00FC5145" w:rsidRPr="004F1D19">
        <w:rPr>
          <w:rFonts w:ascii="Times New Roman" w:hAnsi="Times New Roman" w:cs="Times New Roman"/>
          <w:b/>
          <w:color w:val="000000" w:themeColor="text1"/>
          <w:sz w:val="24"/>
          <w:szCs w:val="24"/>
        </w:rPr>
        <w:t>arte</w:t>
      </w:r>
      <w:r w:rsidRPr="004F1D19">
        <w:rPr>
          <w:rFonts w:ascii="Times New Roman" w:hAnsi="Times New Roman" w:cs="Times New Roman"/>
          <w:b/>
          <w:color w:val="000000" w:themeColor="text1"/>
          <w:sz w:val="24"/>
          <w:szCs w:val="24"/>
        </w:rPr>
        <w:t>i</w:t>
      </w:r>
      <w:r w:rsidR="00FC5145" w:rsidRPr="004F1D19">
        <w:rPr>
          <w:rFonts w:ascii="Times New Roman" w:hAnsi="Times New Roman" w:cs="Times New Roman"/>
          <w:b/>
          <w:color w:val="000000" w:themeColor="text1"/>
          <w:sz w:val="24"/>
          <w:szCs w:val="24"/>
        </w:rPr>
        <w:t xml:space="preserve"> “</w:t>
      </w:r>
      <w:r w:rsidR="00D67BC0" w:rsidRPr="004F1D19">
        <w:rPr>
          <w:rFonts w:ascii="Times New Roman" w:hAnsi="Times New Roman" w:cs="Times New Roman"/>
          <w:b/>
          <w:color w:val="000000" w:themeColor="text1"/>
          <w:sz w:val="24"/>
          <w:szCs w:val="24"/>
        </w:rPr>
        <w:t>Central Baltic Small Ports</w:t>
      </w:r>
      <w:r w:rsidR="00FC5145" w:rsidRPr="004F1D19">
        <w:rPr>
          <w:rFonts w:ascii="Times New Roman" w:hAnsi="Times New Roman" w:cs="Times New Roman"/>
          <w:b/>
          <w:color w:val="000000" w:themeColor="text1"/>
          <w:sz w:val="24"/>
          <w:szCs w:val="24"/>
        </w:rPr>
        <w:t>”:</w:t>
      </w:r>
    </w:p>
    <w:p w14:paraId="274FFFD7" w14:textId="3CE5BA78" w:rsidR="00D33D52" w:rsidRDefault="00D67BC0" w:rsidP="004F1D19">
      <w:pPr>
        <w:pStyle w:val="ListParagraph"/>
        <w:numPr>
          <w:ilvl w:val="1"/>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Formāts: A2</w:t>
      </w:r>
      <w:r w:rsidR="00D33D52">
        <w:rPr>
          <w:rFonts w:ascii="Times New Roman" w:hAnsi="Times New Roman" w:cs="Times New Roman"/>
          <w:color w:val="000000" w:themeColor="text1"/>
          <w:sz w:val="24"/>
          <w:szCs w:val="24"/>
        </w:rPr>
        <w:t xml:space="preserve"> </w:t>
      </w:r>
      <w:r w:rsidR="00D33D52" w:rsidRPr="00D33D52">
        <w:rPr>
          <w:rFonts w:ascii="Times New Roman" w:hAnsi="Times New Roman" w:cs="Times New Roman"/>
          <w:color w:val="000000" w:themeColor="text1"/>
          <w:sz w:val="24"/>
          <w:szCs w:val="24"/>
        </w:rPr>
        <w:t>(420mm</w:t>
      </w:r>
      <w:r>
        <w:rPr>
          <w:rFonts w:ascii="Times New Roman" w:hAnsi="Times New Roman" w:cs="Times New Roman"/>
          <w:color w:val="000000" w:themeColor="text1"/>
          <w:sz w:val="24"/>
          <w:szCs w:val="24"/>
        </w:rPr>
        <w:t xml:space="preserve"> x 594mm</w:t>
      </w:r>
      <w:r w:rsidR="00D33D52" w:rsidRPr="00D33D52">
        <w:rPr>
          <w:rFonts w:ascii="Times New Roman" w:hAnsi="Times New Roman" w:cs="Times New Roman"/>
          <w:color w:val="000000" w:themeColor="text1"/>
          <w:sz w:val="24"/>
          <w:szCs w:val="24"/>
        </w:rPr>
        <w:t xml:space="preserve">), </w:t>
      </w:r>
    </w:p>
    <w:p w14:paraId="7DA5807B" w14:textId="34EA9B2E" w:rsidR="00FC5145" w:rsidRPr="004A3C41" w:rsidRDefault="00FC5145" w:rsidP="004F1D19">
      <w:pPr>
        <w:pStyle w:val="ListParagraph"/>
        <w:numPr>
          <w:ilvl w:val="1"/>
          <w:numId w:val="3"/>
        </w:numPr>
        <w:spacing w:after="120" w:line="240" w:lineRule="auto"/>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Druka: 4+4 pilnkrāsu;</w:t>
      </w:r>
    </w:p>
    <w:p w14:paraId="513EE140" w14:textId="69F35F77" w:rsidR="00FC5145" w:rsidRPr="004A3C41" w:rsidRDefault="00FC5145" w:rsidP="004F1D19">
      <w:pPr>
        <w:pStyle w:val="ListParagraph"/>
        <w:numPr>
          <w:ilvl w:val="1"/>
          <w:numId w:val="3"/>
        </w:numPr>
        <w:spacing w:after="120" w:line="240" w:lineRule="auto"/>
        <w:jc w:val="both"/>
        <w:rPr>
          <w:rFonts w:ascii="Times New Roman" w:hAnsi="Times New Roman" w:cs="Times New Roman"/>
          <w:color w:val="000000" w:themeColor="text1"/>
          <w:sz w:val="24"/>
          <w:szCs w:val="24"/>
        </w:rPr>
      </w:pPr>
      <w:r w:rsidRPr="004A3C41">
        <w:rPr>
          <w:rFonts w:ascii="Times New Roman" w:hAnsi="Times New Roman" w:cs="Times New Roman"/>
          <w:color w:val="000000" w:themeColor="text1"/>
          <w:sz w:val="24"/>
          <w:szCs w:val="24"/>
        </w:rPr>
        <w:t>Papīrs: G Print vai ekvivalents krītots, matēts papīrs, 80 g/m2.</w:t>
      </w:r>
    </w:p>
    <w:p w14:paraId="314BC840" w14:textId="3B1EBA7D" w:rsidR="00C6666C" w:rsidRPr="006D4EE1" w:rsidRDefault="00FC5145" w:rsidP="004F1D19">
      <w:pPr>
        <w:pStyle w:val="ListParagraph"/>
        <w:numPr>
          <w:ilvl w:val="1"/>
          <w:numId w:val="3"/>
        </w:numPr>
        <w:spacing w:after="120" w:line="240" w:lineRule="auto"/>
        <w:jc w:val="both"/>
        <w:rPr>
          <w:rFonts w:ascii="Times New Roman" w:hAnsi="Times New Roman" w:cs="Times New Roman"/>
          <w:color w:val="000000" w:themeColor="text1"/>
          <w:sz w:val="24"/>
          <w:szCs w:val="24"/>
        </w:rPr>
      </w:pPr>
      <w:r w:rsidRPr="006D4EE1">
        <w:rPr>
          <w:rFonts w:ascii="Times New Roman" w:hAnsi="Times New Roman" w:cs="Times New Roman"/>
          <w:color w:val="000000" w:themeColor="text1"/>
          <w:sz w:val="24"/>
          <w:szCs w:val="24"/>
        </w:rPr>
        <w:t>Apstrāde</w:t>
      </w:r>
      <w:r w:rsidR="00C6666C" w:rsidRPr="006D4EE1">
        <w:rPr>
          <w:rFonts w:ascii="Times New Roman" w:hAnsi="Times New Roman" w:cs="Times New Roman"/>
          <w:color w:val="000000" w:themeColor="text1"/>
          <w:sz w:val="24"/>
          <w:szCs w:val="24"/>
        </w:rPr>
        <w:t xml:space="preserve">: locīta uz </w:t>
      </w:r>
      <w:r w:rsidR="006D4EE1" w:rsidRPr="006D4EE1">
        <w:rPr>
          <w:rFonts w:ascii="Times New Roman" w:hAnsi="Times New Roman" w:cs="Times New Roman"/>
          <w:color w:val="000000" w:themeColor="text1"/>
          <w:sz w:val="24"/>
          <w:szCs w:val="24"/>
        </w:rPr>
        <w:t>105</w:t>
      </w:r>
      <w:r w:rsidR="00C6666C" w:rsidRPr="006D4EE1">
        <w:rPr>
          <w:rFonts w:ascii="Times New Roman" w:hAnsi="Times New Roman" w:cs="Times New Roman"/>
          <w:color w:val="000000" w:themeColor="text1"/>
          <w:sz w:val="24"/>
          <w:szCs w:val="24"/>
        </w:rPr>
        <w:t xml:space="preserve"> x </w:t>
      </w:r>
      <w:r w:rsidR="006D4EE1" w:rsidRPr="006D4EE1">
        <w:rPr>
          <w:rFonts w:ascii="Times New Roman" w:hAnsi="Times New Roman" w:cs="Times New Roman"/>
          <w:color w:val="000000" w:themeColor="text1"/>
          <w:sz w:val="24"/>
          <w:szCs w:val="24"/>
        </w:rPr>
        <w:t>148.5</w:t>
      </w:r>
      <w:r w:rsidR="00C6666C" w:rsidRPr="006D4EE1">
        <w:rPr>
          <w:rFonts w:ascii="Times New Roman" w:hAnsi="Times New Roman" w:cs="Times New Roman"/>
          <w:color w:val="000000" w:themeColor="text1"/>
          <w:sz w:val="24"/>
          <w:szCs w:val="24"/>
        </w:rPr>
        <w:t xml:space="preserve"> mm (</w:t>
      </w:r>
      <w:r w:rsidR="006D4EE1">
        <w:rPr>
          <w:rFonts w:ascii="Times New Roman" w:hAnsi="Times New Roman" w:cs="Times New Roman"/>
          <w:color w:val="000000" w:themeColor="text1"/>
          <w:sz w:val="24"/>
          <w:szCs w:val="24"/>
        </w:rPr>
        <w:t>3</w:t>
      </w:r>
      <w:r w:rsidR="005D0827" w:rsidRPr="006D4EE1">
        <w:rPr>
          <w:rFonts w:ascii="Times New Roman" w:hAnsi="Times New Roman" w:cs="Times New Roman"/>
          <w:color w:val="000000" w:themeColor="text1"/>
          <w:sz w:val="24"/>
          <w:szCs w:val="24"/>
        </w:rPr>
        <w:t>+</w:t>
      </w:r>
      <w:r w:rsidR="006D4EE1">
        <w:rPr>
          <w:rFonts w:ascii="Times New Roman" w:hAnsi="Times New Roman" w:cs="Times New Roman"/>
          <w:color w:val="000000" w:themeColor="text1"/>
          <w:sz w:val="24"/>
          <w:szCs w:val="24"/>
        </w:rPr>
        <w:t>3</w:t>
      </w:r>
      <w:r w:rsidR="00C6666C" w:rsidRPr="006D4EE1">
        <w:rPr>
          <w:rFonts w:ascii="Times New Roman" w:hAnsi="Times New Roman" w:cs="Times New Roman"/>
          <w:color w:val="000000" w:themeColor="text1"/>
          <w:sz w:val="24"/>
          <w:szCs w:val="24"/>
        </w:rPr>
        <w:t xml:space="preserve"> locījumi</w:t>
      </w:r>
      <w:r w:rsidR="006D4EE1" w:rsidRPr="006D4EE1">
        <w:rPr>
          <w:rFonts w:ascii="Times New Roman" w:hAnsi="Times New Roman" w:cs="Times New Roman"/>
          <w:color w:val="000000" w:themeColor="text1"/>
          <w:sz w:val="24"/>
          <w:szCs w:val="24"/>
        </w:rPr>
        <w:t>, vertikāls formāts</w:t>
      </w:r>
      <w:r w:rsidR="00C6666C" w:rsidRPr="006D4EE1">
        <w:rPr>
          <w:rFonts w:ascii="Times New Roman" w:hAnsi="Times New Roman" w:cs="Times New Roman"/>
          <w:color w:val="000000" w:themeColor="text1"/>
          <w:sz w:val="24"/>
          <w:szCs w:val="24"/>
        </w:rPr>
        <w:t>);</w:t>
      </w:r>
    </w:p>
    <w:p w14:paraId="5A714F9B" w14:textId="45E0FED0" w:rsidR="004F1D19" w:rsidRDefault="004F1D19" w:rsidP="004F1D19">
      <w:pPr>
        <w:pStyle w:val="ListParagraph"/>
        <w:numPr>
          <w:ilvl w:val="0"/>
          <w:numId w:val="3"/>
        </w:numPr>
        <w:spacing w:after="120" w:line="240" w:lineRule="auto"/>
        <w:jc w:val="both"/>
        <w:rPr>
          <w:rFonts w:ascii="Times New Roman" w:hAnsi="Times New Roman" w:cs="Times New Roman"/>
          <w:b/>
          <w:color w:val="000000" w:themeColor="text1"/>
          <w:sz w:val="24"/>
          <w:szCs w:val="24"/>
        </w:rPr>
      </w:pPr>
      <w:r w:rsidRPr="004F1D19">
        <w:rPr>
          <w:rFonts w:ascii="Times New Roman" w:hAnsi="Times New Roman" w:cs="Times New Roman"/>
          <w:b/>
          <w:color w:val="000000" w:themeColor="text1"/>
          <w:sz w:val="24"/>
          <w:szCs w:val="24"/>
        </w:rPr>
        <w:t>Saturs kartei “Central Baltic Small Ports”:</w:t>
      </w:r>
    </w:p>
    <w:p w14:paraId="6BA3F78F" w14:textId="77777777" w:rsidR="004F1D19" w:rsidRDefault="004F1D19" w:rsidP="004F1D19">
      <w:pPr>
        <w:pStyle w:val="ListParagraph"/>
        <w:numPr>
          <w:ilvl w:val="1"/>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Kartes 1. un 4. vāka dizains attēlo materiāla būtību, ietver fotogrāfijas un / vai zīmētas  vai grafiskas ilustrācijas, kartes nosaukumu, logo saskaņā ar Programmas vizuālās identitātes vadlīnijām, noderīgu informāciju u.c. informāciju, ko iesniedz Pasūtītājs.</w:t>
      </w:r>
    </w:p>
    <w:p w14:paraId="639C4C86" w14:textId="197E4526" w:rsidR="004F1D19" w:rsidRPr="004F1D19" w:rsidRDefault="004F1D19" w:rsidP="004F1D19">
      <w:pPr>
        <w:pStyle w:val="ListParagraph"/>
        <w:numPr>
          <w:ilvl w:val="1"/>
          <w:numId w:val="3"/>
        </w:numPr>
        <w:spacing w:after="120" w:line="240" w:lineRule="auto"/>
        <w:jc w:val="both"/>
        <w:rPr>
          <w:rFonts w:ascii="Times New Roman" w:hAnsi="Times New Roman" w:cs="Times New Roman"/>
          <w:color w:val="000000" w:themeColor="text1"/>
          <w:sz w:val="24"/>
          <w:szCs w:val="24"/>
        </w:rPr>
      </w:pPr>
      <w:r w:rsidRPr="004F1D19">
        <w:rPr>
          <w:rFonts w:ascii="Times New Roman" w:hAnsi="Times New Roman" w:cs="Times New Roman"/>
          <w:color w:val="000000" w:themeColor="text1"/>
          <w:sz w:val="24"/>
          <w:szCs w:val="24"/>
        </w:rPr>
        <w:t xml:space="preserve">Shematiska Baltijas jūras reģiona valstu karte, aptvērumā iekļaujot visu reģiona valstu jūras robežu; minēti </w:t>
      </w:r>
      <w:r>
        <w:rPr>
          <w:rFonts w:ascii="Times New Roman" w:hAnsi="Times New Roman" w:cs="Times New Roman"/>
          <w:color w:val="000000" w:themeColor="text1"/>
          <w:sz w:val="24"/>
          <w:szCs w:val="24"/>
        </w:rPr>
        <w:t>valstu nosaukumi.</w:t>
      </w:r>
    </w:p>
    <w:p w14:paraId="25DDC056" w14:textId="1C2F83B2" w:rsidR="004F1D19" w:rsidRDefault="004F1D19" w:rsidP="004F1D19">
      <w:pPr>
        <w:pStyle w:val="ListParagraph"/>
        <w:numPr>
          <w:ilvl w:val="1"/>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Kartē atzīmētas jahtu ostas pēc Pasūtītāja iesniegtā saraksta, ostas pēc Pasūtītāja norādījumiem savienotas ar līnijām, uz kurām norādīts attālums starp attiecīgajām ostām jūras jūdzēs.</w:t>
      </w:r>
    </w:p>
    <w:p w14:paraId="65DC02AD" w14:textId="6820DE59" w:rsidR="004F1D19" w:rsidRPr="004F1D19" w:rsidRDefault="004F1D19" w:rsidP="004F1D19">
      <w:pPr>
        <w:pStyle w:val="ListParagraph"/>
        <w:numPr>
          <w:ilvl w:val="1"/>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Kartes otrajā pusē izvietota informācija par </w:t>
      </w:r>
      <w:r w:rsidR="00836473">
        <w:rPr>
          <w:rFonts w:ascii="Times New Roman" w:hAnsi="Times New Roman" w:cs="Times New Roman"/>
          <w:color w:val="000000" w:themeColor="text1"/>
          <w:sz w:val="24"/>
          <w:szCs w:val="24"/>
        </w:rPr>
        <w:t>jahtu ostām, vispārēji apraksti par burāšanas galamērķiem, noderīga informācija. Visu kartes satura informāciju iesniedz Pasūtītājs.</w:t>
      </w:r>
    </w:p>
    <w:p w14:paraId="67E0EFCE" w14:textId="6BD9298E" w:rsidR="00FC5145" w:rsidRDefault="00FC5145" w:rsidP="00BC111F">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C66F5F">
        <w:rPr>
          <w:rFonts w:ascii="Times New Roman" w:hAnsi="Times New Roman" w:cs="Times New Roman"/>
          <w:color w:val="000000" w:themeColor="text1"/>
          <w:sz w:val="24"/>
          <w:szCs w:val="24"/>
        </w:rPr>
        <w:t xml:space="preserve">Darba gaitā </w:t>
      </w:r>
      <w:r w:rsidR="00C6666C">
        <w:rPr>
          <w:rFonts w:ascii="Times New Roman" w:hAnsi="Times New Roman" w:cs="Times New Roman"/>
          <w:color w:val="000000" w:themeColor="text1"/>
          <w:sz w:val="24"/>
          <w:szCs w:val="24"/>
        </w:rPr>
        <w:t>kartes</w:t>
      </w:r>
      <w:r w:rsidRPr="00C66F5F">
        <w:rPr>
          <w:rFonts w:ascii="Times New Roman" w:hAnsi="Times New Roman" w:cs="Times New Roman"/>
          <w:color w:val="000000" w:themeColor="text1"/>
          <w:sz w:val="24"/>
          <w:szCs w:val="24"/>
        </w:rPr>
        <w:t xml:space="preserve"> uzbūve var tikt mainīta, atkarībā no informācijas </w:t>
      </w:r>
      <w:r>
        <w:rPr>
          <w:rFonts w:ascii="Times New Roman" w:hAnsi="Times New Roman" w:cs="Times New Roman"/>
          <w:color w:val="000000" w:themeColor="text1"/>
          <w:sz w:val="24"/>
          <w:szCs w:val="24"/>
        </w:rPr>
        <w:t xml:space="preserve">un vizuālo materiālu </w:t>
      </w:r>
      <w:r w:rsidRPr="00C66F5F">
        <w:rPr>
          <w:rFonts w:ascii="Times New Roman" w:hAnsi="Times New Roman" w:cs="Times New Roman"/>
          <w:color w:val="000000" w:themeColor="text1"/>
          <w:sz w:val="24"/>
          <w:szCs w:val="24"/>
        </w:rPr>
        <w:t>apjoma</w:t>
      </w:r>
      <w:r w:rsidR="00BC111F">
        <w:rPr>
          <w:rFonts w:ascii="Times New Roman" w:hAnsi="Times New Roman" w:cs="Times New Roman"/>
          <w:color w:val="000000" w:themeColor="text1"/>
          <w:sz w:val="24"/>
          <w:szCs w:val="24"/>
        </w:rPr>
        <w:t xml:space="preserve"> par</w:t>
      </w:r>
      <w:r w:rsidRPr="00C66F5F">
        <w:rPr>
          <w:rFonts w:ascii="Times New Roman" w:hAnsi="Times New Roman" w:cs="Times New Roman"/>
          <w:color w:val="000000" w:themeColor="text1"/>
          <w:sz w:val="24"/>
          <w:szCs w:val="24"/>
        </w:rPr>
        <w:t xml:space="preserve"> </w:t>
      </w:r>
      <w:r w:rsidR="00C6666C">
        <w:rPr>
          <w:rFonts w:ascii="Times New Roman" w:hAnsi="Times New Roman" w:cs="Times New Roman"/>
          <w:color w:val="000000" w:themeColor="text1"/>
          <w:sz w:val="24"/>
          <w:szCs w:val="24"/>
        </w:rPr>
        <w:t>jahtu ostām</w:t>
      </w:r>
      <w:r>
        <w:rPr>
          <w:rFonts w:ascii="Times New Roman" w:hAnsi="Times New Roman" w:cs="Times New Roman"/>
          <w:color w:val="000000" w:themeColor="text1"/>
          <w:sz w:val="24"/>
          <w:szCs w:val="24"/>
        </w:rPr>
        <w:t>;</w:t>
      </w:r>
      <w:r w:rsidRPr="00C66F5F">
        <w:rPr>
          <w:rFonts w:ascii="Times New Roman" w:hAnsi="Times New Roman" w:cs="Times New Roman"/>
          <w:color w:val="000000" w:themeColor="text1"/>
          <w:sz w:val="24"/>
          <w:szCs w:val="24"/>
        </w:rPr>
        <w:t xml:space="preserve">  </w:t>
      </w:r>
    </w:p>
    <w:p w14:paraId="051C169D" w14:textId="67DB8725" w:rsidR="00836473" w:rsidRPr="005D0827" w:rsidRDefault="005D0827" w:rsidP="00BC111F">
      <w:pPr>
        <w:pStyle w:val="ListParagraph"/>
        <w:numPr>
          <w:ilvl w:val="0"/>
          <w:numId w:val="3"/>
        </w:numPr>
        <w:spacing w:after="120" w:line="240" w:lineRule="auto"/>
        <w:jc w:val="both"/>
        <w:rPr>
          <w:rFonts w:ascii="Times New Roman" w:hAnsi="Times New Roman" w:cs="Times New Roman"/>
          <w:b/>
          <w:color w:val="000000" w:themeColor="text1"/>
          <w:sz w:val="24"/>
          <w:szCs w:val="24"/>
        </w:rPr>
      </w:pPr>
      <w:r w:rsidRPr="005D0827">
        <w:rPr>
          <w:rFonts w:ascii="Times New Roman" w:hAnsi="Times New Roman" w:cs="Times New Roman"/>
          <w:b/>
          <w:color w:val="000000" w:themeColor="text1"/>
          <w:sz w:val="24"/>
          <w:szCs w:val="24"/>
        </w:rPr>
        <w:t>Pakalpojuma sniegšanas termiņš</w:t>
      </w:r>
      <w:r w:rsidR="00836473" w:rsidRPr="005D0827">
        <w:rPr>
          <w:rFonts w:ascii="Times New Roman" w:hAnsi="Times New Roman" w:cs="Times New Roman"/>
          <w:b/>
          <w:color w:val="000000" w:themeColor="text1"/>
          <w:sz w:val="24"/>
          <w:szCs w:val="24"/>
        </w:rPr>
        <w:t>:</w:t>
      </w:r>
    </w:p>
    <w:p w14:paraId="1FCC9DC0" w14:textId="4DD085E1" w:rsidR="005D0827" w:rsidRPr="005D0827" w:rsidRDefault="005D0827" w:rsidP="005D0827">
      <w:pPr>
        <w:pStyle w:val="ListParagraph"/>
        <w:numPr>
          <w:ilvl w:val="1"/>
          <w:numId w:val="3"/>
        </w:num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K</w:t>
      </w:r>
      <w:r w:rsidRPr="005D0827">
        <w:rPr>
          <w:rFonts w:ascii="Times New Roman" w:hAnsi="Times New Roman" w:cs="Times New Roman"/>
          <w:bCs/>
          <w:color w:val="000000" w:themeColor="text1"/>
          <w:sz w:val="24"/>
          <w:szCs w:val="24"/>
        </w:rPr>
        <w:t>artes maket</w:t>
      </w:r>
      <w:r>
        <w:rPr>
          <w:rFonts w:ascii="Times New Roman" w:hAnsi="Times New Roman" w:cs="Times New Roman"/>
          <w:bCs/>
          <w:color w:val="000000" w:themeColor="text1"/>
          <w:sz w:val="24"/>
          <w:szCs w:val="24"/>
        </w:rPr>
        <w:t>a</w:t>
      </w:r>
      <w:r w:rsidRPr="005D0827">
        <w:rPr>
          <w:rFonts w:ascii="Times New Roman" w:hAnsi="Times New Roman" w:cs="Times New Roman"/>
          <w:bCs/>
          <w:color w:val="000000" w:themeColor="text1"/>
          <w:sz w:val="24"/>
          <w:szCs w:val="24"/>
        </w:rPr>
        <w:t>m jābūt iesniegtiem Pasūtītājam ne vēlāk kā 30 (trīsdesmit) darba dienu laikā no publiska pakalpojuma līguma noslēgšanas dienas.</w:t>
      </w:r>
      <w:r w:rsidRPr="005D0827">
        <w:rPr>
          <w:rFonts w:ascii="Times New Roman" w:hAnsi="Times New Roman" w:cs="Times New Roman"/>
          <w:color w:val="000000" w:themeColor="text1"/>
          <w:sz w:val="24"/>
          <w:szCs w:val="24"/>
        </w:rPr>
        <w:t xml:space="preserve"> </w:t>
      </w:r>
    </w:p>
    <w:p w14:paraId="7EB1D1B4" w14:textId="7C94AA4D" w:rsidR="00836473" w:rsidRDefault="00836473" w:rsidP="00836473">
      <w:pPr>
        <w:pStyle w:val="ListParagraph"/>
        <w:numPr>
          <w:ilvl w:val="1"/>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Pasūtītājs 5 darba dienu laikā no līguma noslēgšanas iesniedz Izpildītājam kartes satura informāciju: tekstus </w:t>
      </w:r>
      <w:r w:rsidR="00B263B0">
        <w:rPr>
          <w:rFonts w:ascii="Times New Roman" w:hAnsi="Times New Roman" w:cs="Times New Roman"/>
          <w:color w:val="000000" w:themeColor="text1"/>
          <w:sz w:val="24"/>
          <w:szCs w:val="24"/>
        </w:rPr>
        <w:t>un</w:t>
      </w:r>
      <w:r>
        <w:rPr>
          <w:rFonts w:ascii="Times New Roman" w:hAnsi="Times New Roman" w:cs="Times New Roman"/>
          <w:color w:val="000000" w:themeColor="text1"/>
          <w:sz w:val="24"/>
          <w:szCs w:val="24"/>
        </w:rPr>
        <w:t xml:space="preserve"> fotogrāfijas</w:t>
      </w:r>
    </w:p>
    <w:p w14:paraId="2DBEC162" w14:textId="7057F0A9" w:rsidR="00836473" w:rsidRDefault="00836473" w:rsidP="00836473">
      <w:pPr>
        <w:pStyle w:val="ListParagraph"/>
        <w:numPr>
          <w:ilvl w:val="1"/>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Izpildītājs </w:t>
      </w:r>
      <w:r w:rsidR="005D0827">
        <w:rPr>
          <w:rFonts w:ascii="Times New Roman" w:hAnsi="Times New Roman" w:cs="Times New Roman"/>
          <w:color w:val="000000" w:themeColor="text1"/>
          <w:sz w:val="24"/>
          <w:szCs w:val="24"/>
        </w:rPr>
        <w:t xml:space="preserve">ne vēlāk kā </w:t>
      </w:r>
      <w:r>
        <w:rPr>
          <w:rFonts w:ascii="Times New Roman" w:hAnsi="Times New Roman" w:cs="Times New Roman"/>
          <w:color w:val="000000" w:themeColor="text1"/>
          <w:sz w:val="24"/>
          <w:szCs w:val="24"/>
        </w:rPr>
        <w:t>5 darba dienu laikā no līguma noslēgšanas iesniedz Pasūtītājam ne mazāk kā 3 kartes dizaina variantus, no kuriem Pasūtītājs 2 darba dienu laikā izvēlas tālāk attīstāmo variantu.</w:t>
      </w:r>
    </w:p>
    <w:p w14:paraId="54E32CD9" w14:textId="53B13410" w:rsidR="005D0827" w:rsidRDefault="005D0827" w:rsidP="00836473">
      <w:pPr>
        <w:pStyle w:val="ListParagraph"/>
        <w:numPr>
          <w:ilvl w:val="1"/>
          <w:numId w:val="3"/>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Kartes maketa labošanai un salikto tekstu korektūrai paredzētas 5 darba dienas</w:t>
      </w:r>
    </w:p>
    <w:p w14:paraId="69A36F4B" w14:textId="1B01C708" w:rsidR="00FC5145" w:rsidRDefault="00FC5145" w:rsidP="00BC111F">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D8665C">
        <w:rPr>
          <w:rFonts w:ascii="Times New Roman" w:hAnsi="Times New Roman" w:cs="Times New Roman"/>
          <w:color w:val="000000" w:themeColor="text1"/>
          <w:sz w:val="24"/>
          <w:szCs w:val="24"/>
        </w:rPr>
        <w:t xml:space="preserve">Pirms izdevuma nodošanas drukas darbu izpildītājam, Izpildītājs Pasūtītājam iesniedz galīgai saskaņošanai </w:t>
      </w:r>
      <w:r w:rsidR="00BC111F">
        <w:rPr>
          <w:rFonts w:ascii="Times New Roman" w:hAnsi="Times New Roman" w:cs="Times New Roman"/>
          <w:color w:val="000000" w:themeColor="text1"/>
          <w:sz w:val="24"/>
          <w:szCs w:val="24"/>
        </w:rPr>
        <w:t>kartes</w:t>
      </w:r>
      <w:r w:rsidRPr="00D8665C">
        <w:rPr>
          <w:rFonts w:ascii="Times New Roman" w:hAnsi="Times New Roman" w:cs="Times New Roman"/>
          <w:color w:val="000000" w:themeColor="text1"/>
          <w:sz w:val="24"/>
          <w:szCs w:val="24"/>
        </w:rPr>
        <w:t xml:space="preserve"> pilna komplekta PDF failus; </w:t>
      </w:r>
    </w:p>
    <w:p w14:paraId="727C9448" w14:textId="39FEB25A" w:rsidR="00FC5145" w:rsidRPr="00DB5BA0" w:rsidRDefault="00FC5145" w:rsidP="00BC111F">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DB5BA0">
        <w:rPr>
          <w:rFonts w:ascii="Times New Roman" w:hAnsi="Times New Roman" w:cs="Times New Roman"/>
          <w:color w:val="000000" w:themeColor="text1"/>
          <w:sz w:val="24"/>
          <w:szCs w:val="24"/>
        </w:rPr>
        <w:t xml:space="preserve">Izpildītājam jāsniedz ieteikumi par piemērotākā papīra/materiāla izvēli </w:t>
      </w:r>
      <w:r w:rsidR="00C6666C">
        <w:rPr>
          <w:rFonts w:ascii="Times New Roman" w:hAnsi="Times New Roman" w:cs="Times New Roman"/>
          <w:color w:val="000000" w:themeColor="text1"/>
          <w:sz w:val="24"/>
          <w:szCs w:val="24"/>
        </w:rPr>
        <w:t>kartes</w:t>
      </w:r>
      <w:r w:rsidRPr="00DB5BA0">
        <w:rPr>
          <w:rFonts w:ascii="Times New Roman" w:hAnsi="Times New Roman" w:cs="Times New Roman"/>
          <w:color w:val="000000" w:themeColor="text1"/>
          <w:sz w:val="24"/>
          <w:szCs w:val="24"/>
        </w:rPr>
        <w:t xml:space="preserve"> drukai un jāiesniedz Pasūtītājam </w:t>
      </w:r>
      <w:r w:rsidR="00C6666C">
        <w:rPr>
          <w:rFonts w:ascii="Times New Roman" w:hAnsi="Times New Roman" w:cs="Times New Roman"/>
          <w:color w:val="000000" w:themeColor="text1"/>
          <w:sz w:val="24"/>
          <w:szCs w:val="24"/>
        </w:rPr>
        <w:t>kartes</w:t>
      </w:r>
      <w:r w:rsidRPr="00DB5BA0">
        <w:rPr>
          <w:rFonts w:ascii="Times New Roman" w:hAnsi="Times New Roman" w:cs="Times New Roman"/>
          <w:color w:val="000000" w:themeColor="text1"/>
          <w:sz w:val="24"/>
          <w:szCs w:val="24"/>
        </w:rPr>
        <w:t xml:space="preserve"> drukas specifikācija.  </w:t>
      </w:r>
    </w:p>
    <w:p w14:paraId="534AE1B2" w14:textId="7AC14FB7"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49859A5C" w14:textId="77777777" w:rsidR="00BB00EE" w:rsidRDefault="00BB00E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794143C4" w14:textId="0BBF6B57" w:rsidR="005C7C0D" w:rsidRPr="00FD422B" w:rsidRDefault="005C7C0D" w:rsidP="005C7C0D">
      <w:pPr>
        <w:spacing w:after="0" w:line="240" w:lineRule="auto"/>
        <w:ind w:left="357"/>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w:t>
      </w:r>
      <w:r w:rsidRPr="00FD422B">
        <w:rPr>
          <w:rFonts w:ascii="Times New Roman" w:hAnsi="Times New Roman" w:cs="Times New Roman"/>
          <w:b/>
          <w:color w:val="000000" w:themeColor="text1"/>
          <w:sz w:val="24"/>
          <w:szCs w:val="24"/>
        </w:rPr>
        <w:t>.Pielikums</w:t>
      </w:r>
    </w:p>
    <w:p w14:paraId="57D1B01C" w14:textId="77777777" w:rsidR="005C7C0D" w:rsidRPr="00FD422B" w:rsidRDefault="005C7C0D" w:rsidP="005C7C0D">
      <w:pPr>
        <w:spacing w:after="0" w:line="240" w:lineRule="auto"/>
        <w:ind w:left="357"/>
        <w:jc w:val="right"/>
        <w:rPr>
          <w:rFonts w:ascii="Times New Roman" w:hAnsi="Times New Roman" w:cs="Times New Roman"/>
          <w:bCs/>
          <w:color w:val="000000" w:themeColor="text1"/>
          <w:sz w:val="24"/>
          <w:szCs w:val="24"/>
        </w:rPr>
      </w:pPr>
      <w:r w:rsidRPr="00FD422B">
        <w:rPr>
          <w:rFonts w:ascii="Times New Roman" w:hAnsi="Times New Roman" w:cs="Times New Roman"/>
          <w:bCs/>
          <w:color w:val="000000" w:themeColor="text1"/>
          <w:sz w:val="24"/>
          <w:szCs w:val="24"/>
        </w:rPr>
        <w:t>Tirgus izpētes noteikumiem</w:t>
      </w:r>
    </w:p>
    <w:p w14:paraId="225E1065" w14:textId="3B9EDD0D" w:rsidR="005C7C0D" w:rsidRPr="00FD422B" w:rsidRDefault="00C6666C" w:rsidP="005C7C0D">
      <w:pPr>
        <w:spacing w:after="0" w:line="240" w:lineRule="auto"/>
        <w:ind w:left="357"/>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w:t>
      </w:r>
      <w:r w:rsidR="005C7C0D" w:rsidRPr="00FD422B">
        <w:rPr>
          <w:rFonts w:ascii="Times New Roman" w:hAnsi="Times New Roman" w:cs="Times New Roman"/>
          <w:bCs/>
          <w:color w:val="000000" w:themeColor="text1"/>
          <w:sz w:val="24"/>
          <w:szCs w:val="24"/>
        </w:rPr>
        <w:t>artes maketēšanas pakalpojumiem</w:t>
      </w:r>
    </w:p>
    <w:p w14:paraId="11908CF9" w14:textId="717CDD02" w:rsidR="005C7C0D" w:rsidRDefault="005C7C0D" w:rsidP="00BC111F">
      <w:pPr>
        <w:pStyle w:val="ListParagraph"/>
        <w:spacing w:after="120" w:line="240" w:lineRule="auto"/>
        <w:ind w:left="885"/>
        <w:jc w:val="both"/>
        <w:rPr>
          <w:rFonts w:ascii="Times New Roman" w:hAnsi="Times New Roman" w:cs="Times New Roman"/>
          <w:color w:val="000000" w:themeColor="text1"/>
          <w:sz w:val="24"/>
          <w:szCs w:val="24"/>
        </w:rPr>
      </w:pPr>
    </w:p>
    <w:p w14:paraId="49128113" w14:textId="77777777" w:rsidR="005C7C0D" w:rsidRPr="00D6554C" w:rsidRDefault="005C7C0D" w:rsidP="005C7C0D">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65EE8B65" w14:textId="10B39EFC" w:rsidR="005C7C0D" w:rsidRDefault="00C6666C" w:rsidP="00C6666C">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K</w:t>
      </w:r>
      <w:r w:rsidR="005C7C0D">
        <w:rPr>
          <w:rFonts w:ascii="Times New Roman" w:hAnsi="Times New Roman" w:cs="Times New Roman"/>
          <w:i/>
          <w:iCs/>
          <w:color w:val="000000" w:themeColor="text1"/>
          <w:sz w:val="24"/>
          <w:szCs w:val="24"/>
        </w:rPr>
        <w:t xml:space="preserve">artes </w:t>
      </w:r>
      <w:r w:rsidR="00B263B0">
        <w:rPr>
          <w:rFonts w:ascii="Times New Roman" w:hAnsi="Times New Roman" w:cs="Times New Roman"/>
          <w:i/>
          <w:iCs/>
          <w:color w:val="000000" w:themeColor="text1"/>
          <w:sz w:val="24"/>
          <w:szCs w:val="24"/>
        </w:rPr>
        <w:t xml:space="preserve">“Central Baltic  Small Ports” </w:t>
      </w:r>
      <w:r w:rsidR="005C7C0D">
        <w:rPr>
          <w:rFonts w:ascii="Times New Roman" w:hAnsi="Times New Roman" w:cs="Times New Roman"/>
          <w:i/>
          <w:iCs/>
          <w:color w:val="000000" w:themeColor="text1"/>
          <w:sz w:val="24"/>
          <w:szCs w:val="24"/>
        </w:rPr>
        <w:t>maketēšanas pakalpojumi</w:t>
      </w:r>
    </w:p>
    <w:p w14:paraId="0B668533" w14:textId="77777777" w:rsidR="005C7C0D" w:rsidRPr="00D6554C" w:rsidRDefault="005C7C0D" w:rsidP="005C7C0D">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828"/>
        <w:gridCol w:w="5499"/>
      </w:tblGrid>
      <w:tr w:rsidR="005C7C0D" w:rsidRPr="00D6554C" w14:paraId="7A3C4F8F" w14:textId="77777777" w:rsidTr="00BB00EE">
        <w:tc>
          <w:tcPr>
            <w:tcW w:w="3828" w:type="dxa"/>
            <w:tcBorders>
              <w:top w:val="single" w:sz="4" w:space="0" w:color="000000"/>
              <w:left w:val="single" w:sz="4" w:space="0" w:color="000000"/>
              <w:bottom w:val="single" w:sz="4" w:space="0" w:color="000000"/>
            </w:tcBorders>
            <w:shd w:val="clear" w:color="auto" w:fill="auto"/>
          </w:tcPr>
          <w:p w14:paraId="7710B164" w14:textId="77777777" w:rsidR="005C7C0D" w:rsidRPr="00D6554C" w:rsidRDefault="005C7C0D" w:rsidP="00A9046D">
            <w:pPr>
              <w:spacing w:after="120" w:line="240" w:lineRule="auto"/>
              <w:rPr>
                <w:rFonts w:ascii="Times New Roman" w:hAnsi="Times New Roman"/>
                <w:sz w:val="24"/>
                <w:szCs w:val="24"/>
              </w:rPr>
            </w:pPr>
            <w:r w:rsidRPr="00D6554C">
              <w:rPr>
                <w:rFonts w:ascii="Times New Roman" w:hAnsi="Times New Roman"/>
                <w:sz w:val="24"/>
                <w:szCs w:val="24"/>
              </w:rPr>
              <w:t>Nosaukums/Vārds, uzvārds</w:t>
            </w:r>
            <w:r w:rsidRPr="00D6554C">
              <w:rPr>
                <w:rStyle w:val="FootnoteReference"/>
                <w:rFonts w:ascii="Times New Roman" w:hAnsi="Times New Roman"/>
                <w:sz w:val="24"/>
                <w:szCs w:val="24"/>
              </w:rPr>
              <w:footnoteReference w:id="2"/>
            </w:r>
            <w:r w:rsidRPr="00D6554C">
              <w:rPr>
                <w:rFonts w:ascii="Times New Roman" w:hAnsi="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56724E8D" w14:textId="77777777" w:rsidR="005C7C0D" w:rsidRPr="00D6554C" w:rsidRDefault="005C7C0D" w:rsidP="00A9046D">
            <w:pPr>
              <w:spacing w:after="120" w:line="240" w:lineRule="auto"/>
              <w:rPr>
                <w:rFonts w:ascii="Times New Roman" w:hAnsi="Times New Roman"/>
                <w:sz w:val="24"/>
                <w:szCs w:val="24"/>
              </w:rPr>
            </w:pPr>
          </w:p>
        </w:tc>
      </w:tr>
      <w:tr w:rsidR="005C7C0D" w:rsidRPr="00D6554C" w14:paraId="26EECCAD" w14:textId="77777777" w:rsidTr="00BB00EE">
        <w:tc>
          <w:tcPr>
            <w:tcW w:w="3828" w:type="dxa"/>
            <w:tcBorders>
              <w:top w:val="single" w:sz="4" w:space="0" w:color="000000"/>
              <w:left w:val="single" w:sz="4" w:space="0" w:color="000000"/>
              <w:bottom w:val="single" w:sz="4" w:space="0" w:color="000000"/>
            </w:tcBorders>
            <w:shd w:val="clear" w:color="auto" w:fill="auto"/>
          </w:tcPr>
          <w:p w14:paraId="76C52711" w14:textId="5DECA298" w:rsidR="005C7C0D" w:rsidRPr="00D6554C" w:rsidRDefault="005C7C0D" w:rsidP="00A9046D">
            <w:pPr>
              <w:spacing w:after="120" w:line="240" w:lineRule="auto"/>
              <w:rPr>
                <w:rFonts w:ascii="Times New Roman" w:hAnsi="Times New Roman"/>
                <w:sz w:val="24"/>
                <w:szCs w:val="24"/>
              </w:rPr>
            </w:pPr>
            <w:r w:rsidRPr="00D6554C">
              <w:rPr>
                <w:rFonts w:ascii="Times New Roman" w:hAnsi="Times New Roman"/>
                <w:sz w:val="24"/>
                <w:szCs w:val="24"/>
              </w:rPr>
              <w:t>Reģistrācijas numurs</w:t>
            </w:r>
            <w:r w:rsidR="00A9046D">
              <w:rPr>
                <w:rFonts w:ascii="Times New Roman" w:hAnsi="Times New Roman"/>
                <w:sz w:val="24"/>
                <w:szCs w:val="24"/>
              </w:rPr>
              <w:t xml:space="preserve"> </w:t>
            </w:r>
            <w:r w:rsidRPr="00D6554C">
              <w:rPr>
                <w:rFonts w:ascii="Times New Roman" w:hAnsi="Times New Roman"/>
                <w:sz w:val="24"/>
                <w:szCs w:val="24"/>
              </w:rPr>
              <w:t>/ personas kods</w:t>
            </w:r>
            <w:r w:rsidRPr="00D6554C">
              <w:rPr>
                <w:rStyle w:val="FootnoteReference"/>
                <w:rFonts w:ascii="Times New Roman" w:hAnsi="Times New Roman"/>
                <w:sz w:val="24"/>
                <w:szCs w:val="24"/>
              </w:rPr>
              <w:footnoteReference w:id="3"/>
            </w:r>
            <w:r w:rsidRPr="00D6554C">
              <w:rPr>
                <w:rFonts w:ascii="Times New Roman" w:hAnsi="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0478BCC7" w14:textId="77777777" w:rsidR="005C7C0D" w:rsidRPr="00D6554C" w:rsidRDefault="005C7C0D" w:rsidP="00A9046D">
            <w:pPr>
              <w:spacing w:after="120" w:line="240" w:lineRule="auto"/>
              <w:rPr>
                <w:rFonts w:ascii="Times New Roman" w:hAnsi="Times New Roman"/>
                <w:sz w:val="24"/>
                <w:szCs w:val="24"/>
              </w:rPr>
            </w:pPr>
          </w:p>
        </w:tc>
      </w:tr>
      <w:tr w:rsidR="005C7C0D" w:rsidRPr="00D6554C" w14:paraId="6DD2EEA8" w14:textId="77777777" w:rsidTr="00BB00EE">
        <w:tc>
          <w:tcPr>
            <w:tcW w:w="3828" w:type="dxa"/>
            <w:tcBorders>
              <w:top w:val="single" w:sz="4" w:space="0" w:color="000000"/>
              <w:left w:val="single" w:sz="4" w:space="0" w:color="000000"/>
              <w:bottom w:val="single" w:sz="4" w:space="0" w:color="000000"/>
            </w:tcBorders>
            <w:shd w:val="clear" w:color="auto" w:fill="auto"/>
          </w:tcPr>
          <w:p w14:paraId="322ECD09" w14:textId="7F223232" w:rsidR="005C7C0D" w:rsidRPr="00D6554C" w:rsidRDefault="005C7C0D" w:rsidP="00A9046D">
            <w:pPr>
              <w:spacing w:after="120" w:line="240" w:lineRule="auto"/>
              <w:rPr>
                <w:rFonts w:ascii="Times New Roman" w:hAnsi="Times New Roman"/>
                <w:sz w:val="24"/>
                <w:szCs w:val="24"/>
              </w:rPr>
            </w:pPr>
            <w:r w:rsidRPr="00D6554C">
              <w:rPr>
                <w:rFonts w:ascii="Times New Roman" w:hAnsi="Times New Roman"/>
                <w:sz w:val="24"/>
                <w:szCs w:val="24"/>
              </w:rPr>
              <w:t>Juridiskā adrese</w:t>
            </w:r>
            <w:r w:rsidR="00A9046D">
              <w:rPr>
                <w:rFonts w:ascii="Times New Roman" w:hAnsi="Times New Roman"/>
                <w:sz w:val="24"/>
                <w:szCs w:val="24"/>
              </w:rPr>
              <w:t xml:space="preserve"> </w:t>
            </w:r>
            <w:r w:rsidRPr="00D6554C">
              <w:rPr>
                <w:rFonts w:ascii="Times New Roman" w:hAnsi="Times New Roman"/>
                <w:sz w:val="24"/>
                <w:szCs w:val="24"/>
              </w:rPr>
              <w:t>/ deklarētā dzīvesvietas adrese</w:t>
            </w:r>
            <w:r w:rsidRPr="00D6554C">
              <w:rPr>
                <w:rStyle w:val="FootnoteReference"/>
                <w:rFonts w:ascii="Times New Roman" w:hAnsi="Times New Roman"/>
                <w:sz w:val="24"/>
                <w:szCs w:val="24"/>
              </w:rPr>
              <w:footnoteReference w:id="4"/>
            </w:r>
            <w:r w:rsidRPr="00D6554C">
              <w:rPr>
                <w:rFonts w:ascii="Times New Roman" w:hAnsi="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487C90FC" w14:textId="77777777" w:rsidR="005C7C0D" w:rsidRPr="00D6554C" w:rsidRDefault="005C7C0D" w:rsidP="00A9046D">
            <w:pPr>
              <w:spacing w:after="120" w:line="240" w:lineRule="auto"/>
              <w:rPr>
                <w:rFonts w:ascii="Times New Roman" w:hAnsi="Times New Roman"/>
                <w:sz w:val="24"/>
                <w:szCs w:val="24"/>
              </w:rPr>
            </w:pPr>
          </w:p>
        </w:tc>
      </w:tr>
      <w:tr w:rsidR="005C7C0D" w:rsidRPr="00D6554C" w14:paraId="496E69DA" w14:textId="77777777" w:rsidTr="00BB00EE">
        <w:tc>
          <w:tcPr>
            <w:tcW w:w="3828" w:type="dxa"/>
            <w:tcBorders>
              <w:top w:val="single" w:sz="4" w:space="0" w:color="000000"/>
              <w:left w:val="single" w:sz="4" w:space="0" w:color="000000"/>
              <w:bottom w:val="single" w:sz="4" w:space="0" w:color="000000"/>
            </w:tcBorders>
            <w:shd w:val="clear" w:color="auto" w:fill="auto"/>
          </w:tcPr>
          <w:p w14:paraId="501A9E70" w14:textId="77777777" w:rsidR="005C7C0D" w:rsidRPr="00D6554C" w:rsidRDefault="005C7C0D" w:rsidP="00A9046D">
            <w:pPr>
              <w:spacing w:after="120" w:line="240" w:lineRule="auto"/>
              <w:rPr>
                <w:rFonts w:ascii="Times New Roman" w:hAnsi="Times New Roman"/>
                <w:sz w:val="24"/>
                <w:szCs w:val="24"/>
              </w:rPr>
            </w:pPr>
            <w:r w:rsidRPr="00D6554C">
              <w:rPr>
                <w:rFonts w:ascii="Times New Roman" w:hAnsi="Times New Roman"/>
                <w:sz w:val="24"/>
                <w:szCs w:val="24"/>
              </w:rPr>
              <w:t xml:space="preserve">Telefona numurs: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283D0ED3" w14:textId="77777777" w:rsidR="005C7C0D" w:rsidRPr="00D6554C" w:rsidRDefault="005C7C0D" w:rsidP="00A9046D">
            <w:pPr>
              <w:spacing w:after="120" w:line="240" w:lineRule="auto"/>
              <w:rPr>
                <w:rFonts w:ascii="Times New Roman" w:hAnsi="Times New Roman"/>
                <w:sz w:val="24"/>
                <w:szCs w:val="24"/>
              </w:rPr>
            </w:pPr>
          </w:p>
        </w:tc>
      </w:tr>
      <w:tr w:rsidR="005C7C0D" w:rsidRPr="00D6554C" w14:paraId="31BD40E9" w14:textId="77777777" w:rsidTr="00BB00EE">
        <w:trPr>
          <w:trHeight w:val="326"/>
        </w:trPr>
        <w:tc>
          <w:tcPr>
            <w:tcW w:w="3828" w:type="dxa"/>
            <w:tcBorders>
              <w:top w:val="single" w:sz="4" w:space="0" w:color="000000"/>
              <w:left w:val="single" w:sz="4" w:space="0" w:color="000000"/>
              <w:bottom w:val="single" w:sz="4" w:space="0" w:color="000000"/>
            </w:tcBorders>
            <w:shd w:val="clear" w:color="auto" w:fill="auto"/>
          </w:tcPr>
          <w:p w14:paraId="2BDFA8B0" w14:textId="77777777" w:rsidR="005C7C0D" w:rsidRPr="00D6554C" w:rsidRDefault="005C7C0D" w:rsidP="00A9046D">
            <w:pPr>
              <w:spacing w:after="120" w:line="240" w:lineRule="auto"/>
              <w:rPr>
                <w:rFonts w:ascii="Times New Roman" w:hAnsi="Times New Roman"/>
                <w:sz w:val="24"/>
                <w:szCs w:val="24"/>
              </w:rPr>
            </w:pPr>
            <w:r w:rsidRPr="00D6554C">
              <w:rPr>
                <w:rFonts w:ascii="Times New Roman" w:hAnsi="Times New Roman"/>
                <w:sz w:val="24"/>
                <w:szCs w:val="24"/>
              </w:rPr>
              <w:t>E-pasts</w:t>
            </w:r>
            <w:r w:rsidRPr="00D6554C">
              <w:rPr>
                <w:rStyle w:val="FootnoteReference"/>
                <w:rFonts w:ascii="Times New Roman" w:hAnsi="Times New Roman"/>
                <w:sz w:val="24"/>
                <w:szCs w:val="24"/>
              </w:rPr>
              <w:footnoteReference w:id="5"/>
            </w:r>
            <w:r w:rsidRPr="00D6554C">
              <w:rPr>
                <w:rFonts w:ascii="Times New Roman" w:hAnsi="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3E572F45" w14:textId="77777777" w:rsidR="005C7C0D" w:rsidRPr="00D6554C" w:rsidRDefault="005C7C0D" w:rsidP="00A9046D">
            <w:pPr>
              <w:spacing w:after="120" w:line="240" w:lineRule="auto"/>
              <w:rPr>
                <w:rFonts w:ascii="Times New Roman" w:hAnsi="Times New Roman"/>
                <w:sz w:val="24"/>
                <w:szCs w:val="24"/>
              </w:rPr>
            </w:pPr>
          </w:p>
        </w:tc>
      </w:tr>
    </w:tbl>
    <w:p w14:paraId="446FF220" w14:textId="77777777" w:rsidR="005C7C0D" w:rsidRPr="00D6554C" w:rsidRDefault="005C7C0D" w:rsidP="00A9046D">
      <w:pPr>
        <w:spacing w:after="120" w:line="240" w:lineRule="auto"/>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828"/>
        <w:gridCol w:w="5499"/>
      </w:tblGrid>
      <w:tr w:rsidR="005C7C0D" w:rsidRPr="00D6554C" w14:paraId="0A097059" w14:textId="77777777" w:rsidTr="00BB00EE">
        <w:tc>
          <w:tcPr>
            <w:tcW w:w="3828" w:type="dxa"/>
            <w:tcBorders>
              <w:top w:val="single" w:sz="4" w:space="0" w:color="000000"/>
              <w:left w:val="single" w:sz="4" w:space="0" w:color="000000"/>
              <w:bottom w:val="single" w:sz="4" w:space="0" w:color="000000"/>
            </w:tcBorders>
            <w:shd w:val="clear" w:color="auto" w:fill="auto"/>
          </w:tcPr>
          <w:p w14:paraId="15A89A68" w14:textId="77777777" w:rsidR="005C7C0D" w:rsidRPr="00D6554C" w:rsidRDefault="005C7C0D" w:rsidP="00A9046D">
            <w:pPr>
              <w:spacing w:after="120" w:line="240" w:lineRule="auto"/>
              <w:rPr>
                <w:rFonts w:ascii="Times New Roman" w:hAnsi="Times New Roman"/>
                <w:sz w:val="24"/>
                <w:szCs w:val="24"/>
              </w:rPr>
            </w:pPr>
            <w:r w:rsidRPr="00D6554C">
              <w:rPr>
                <w:rFonts w:ascii="Times New Roman" w:hAnsi="Times New Roman"/>
                <w:sz w:val="24"/>
                <w:szCs w:val="24"/>
              </w:rPr>
              <w:t>Kontaktpersona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00384706" w14:textId="77777777" w:rsidR="005C7C0D" w:rsidRPr="00D6554C" w:rsidRDefault="005C7C0D" w:rsidP="00A9046D">
            <w:pPr>
              <w:spacing w:after="120" w:line="240" w:lineRule="auto"/>
              <w:rPr>
                <w:rFonts w:ascii="Times New Roman" w:hAnsi="Times New Roman"/>
                <w:sz w:val="24"/>
                <w:szCs w:val="24"/>
              </w:rPr>
            </w:pPr>
          </w:p>
        </w:tc>
      </w:tr>
      <w:tr w:rsidR="005C7C0D" w:rsidRPr="00D6554C" w14:paraId="3A1FDDB5" w14:textId="77777777" w:rsidTr="00BB00EE">
        <w:tc>
          <w:tcPr>
            <w:tcW w:w="3828" w:type="dxa"/>
            <w:tcBorders>
              <w:top w:val="single" w:sz="4" w:space="0" w:color="000000"/>
              <w:left w:val="single" w:sz="4" w:space="0" w:color="000000"/>
              <w:bottom w:val="single" w:sz="4" w:space="0" w:color="000000"/>
            </w:tcBorders>
            <w:shd w:val="clear" w:color="auto" w:fill="auto"/>
          </w:tcPr>
          <w:p w14:paraId="2727BE88" w14:textId="77777777" w:rsidR="005C7C0D" w:rsidRPr="00D6554C" w:rsidRDefault="005C7C0D" w:rsidP="00A9046D">
            <w:pPr>
              <w:spacing w:after="120" w:line="240" w:lineRule="auto"/>
              <w:rPr>
                <w:rFonts w:ascii="Times New Roman" w:hAnsi="Times New Roman"/>
                <w:sz w:val="24"/>
                <w:szCs w:val="24"/>
              </w:rPr>
            </w:pPr>
            <w:r w:rsidRPr="00D6554C">
              <w:rPr>
                <w:rFonts w:ascii="Times New Roman" w:hAnsi="Times New Roman"/>
                <w:sz w:val="24"/>
                <w:szCs w:val="24"/>
              </w:rPr>
              <w:t xml:space="preserve">Telefona numurs: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3AC5321A" w14:textId="77777777" w:rsidR="005C7C0D" w:rsidRPr="00D6554C" w:rsidRDefault="005C7C0D" w:rsidP="00A9046D">
            <w:pPr>
              <w:spacing w:after="120" w:line="240" w:lineRule="auto"/>
              <w:rPr>
                <w:rFonts w:ascii="Times New Roman" w:hAnsi="Times New Roman"/>
                <w:sz w:val="24"/>
                <w:szCs w:val="24"/>
              </w:rPr>
            </w:pPr>
          </w:p>
        </w:tc>
      </w:tr>
    </w:tbl>
    <w:p w14:paraId="73894B35" w14:textId="77777777" w:rsidR="005C7C0D" w:rsidRDefault="005C7C0D" w:rsidP="005C7C0D">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75172404" w14:textId="52A28BF5" w:rsidR="005C7C0D" w:rsidRPr="00430B9A" w:rsidRDefault="005C7C0D" w:rsidP="005C7C0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w:t>
      </w:r>
      <w:r>
        <w:rPr>
          <w:rFonts w:ascii="Times New Roman" w:hAnsi="Times New Roman"/>
          <w:sz w:val="24"/>
          <w:szCs w:val="24"/>
        </w:rPr>
        <w:t>nodrošināt kartes maketa izstrādes pakalpojumu atbilstoši tehniskās specifikācijas prasībām.</w:t>
      </w:r>
    </w:p>
    <w:p w14:paraId="13CD9FB9" w14:textId="77777777" w:rsidR="005C7C0D" w:rsidRPr="00430B9A" w:rsidRDefault="005C7C0D" w:rsidP="005C7C0D">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Pr>
          <w:rFonts w:ascii="Times New Roman" w:hAnsi="Times New Roman"/>
          <w:sz w:val="24"/>
          <w:szCs w:val="24"/>
        </w:rPr>
        <w:t>p</w:t>
      </w:r>
      <w:r w:rsidRPr="00430B9A">
        <w:rPr>
          <w:rFonts w:ascii="Times New Roman" w:hAnsi="Times New Roman"/>
          <w:sz w:val="24"/>
          <w:szCs w:val="24"/>
        </w:rPr>
        <w:t xml:space="preserve">retendents piekrīt, ka </w:t>
      </w:r>
      <w:r>
        <w:rPr>
          <w:rFonts w:ascii="Times New Roman" w:hAnsi="Times New Roman"/>
          <w:sz w:val="24"/>
          <w:szCs w:val="24"/>
        </w:rPr>
        <w:t>pasūtītājs</w:t>
      </w:r>
      <w:r w:rsidRPr="00430B9A">
        <w:rPr>
          <w:rFonts w:ascii="Times New Roman" w:hAnsi="Times New Roman"/>
          <w:sz w:val="24"/>
          <w:szCs w:val="24"/>
        </w:rPr>
        <w:t xml:space="preserve"> komunikācijai ar </w:t>
      </w:r>
      <w:r>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Pr>
          <w:rFonts w:ascii="Times New Roman" w:hAnsi="Times New Roman"/>
          <w:sz w:val="24"/>
          <w:szCs w:val="24"/>
        </w:rPr>
        <w:t xml:space="preserve"> un telefona numuru</w:t>
      </w:r>
      <w:r w:rsidRPr="00430B9A">
        <w:rPr>
          <w:rFonts w:ascii="Times New Roman" w:hAnsi="Times New Roman"/>
          <w:sz w:val="24"/>
          <w:szCs w:val="24"/>
        </w:rPr>
        <w:t>.</w:t>
      </w:r>
    </w:p>
    <w:tbl>
      <w:tblPr>
        <w:tblW w:w="8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1559"/>
        <w:gridCol w:w="1418"/>
        <w:gridCol w:w="1701"/>
      </w:tblGrid>
      <w:tr w:rsidR="005C7C0D" w:rsidRPr="00430B9A" w14:paraId="5AD43440" w14:textId="372BBF65" w:rsidTr="005C7C0D">
        <w:tc>
          <w:tcPr>
            <w:tcW w:w="4101" w:type="dxa"/>
            <w:shd w:val="clear" w:color="auto" w:fill="auto"/>
            <w:vAlign w:val="center"/>
          </w:tcPr>
          <w:p w14:paraId="74B8DDFC" w14:textId="77777777" w:rsidR="005C7C0D" w:rsidRPr="00430B9A" w:rsidRDefault="005C7C0D" w:rsidP="00C44BD7">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1559" w:type="dxa"/>
          </w:tcPr>
          <w:p w14:paraId="7329040E" w14:textId="77777777" w:rsidR="005C7C0D" w:rsidRPr="00430B9A" w:rsidRDefault="005C7C0D" w:rsidP="00C44BD7">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Pr="00430B9A">
              <w:rPr>
                <w:rFonts w:ascii="Times New Roman" w:hAnsi="Times New Roman"/>
                <w:b/>
                <w:bCs/>
                <w:sz w:val="24"/>
                <w:szCs w:val="24"/>
              </w:rPr>
              <w:t xml:space="preserve"> PVN, EUR</w:t>
            </w:r>
          </w:p>
        </w:tc>
        <w:tc>
          <w:tcPr>
            <w:tcW w:w="1418" w:type="dxa"/>
          </w:tcPr>
          <w:p w14:paraId="078D8281" w14:textId="77777777" w:rsidR="005C7C0D" w:rsidRPr="00430B9A" w:rsidRDefault="005C7C0D" w:rsidP="00C44BD7">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Pr="00430B9A">
              <w:rPr>
                <w:rFonts w:ascii="Times New Roman" w:hAnsi="Times New Roman"/>
                <w:b/>
                <w:bCs/>
                <w:sz w:val="24"/>
                <w:szCs w:val="24"/>
              </w:rPr>
              <w:t xml:space="preserve"> ar PVN, EUR</w:t>
            </w:r>
          </w:p>
        </w:tc>
        <w:tc>
          <w:tcPr>
            <w:tcW w:w="1701" w:type="dxa"/>
          </w:tcPr>
          <w:p w14:paraId="245A4A41" w14:textId="15AE55BB" w:rsidR="005C7C0D" w:rsidRDefault="005C7C0D" w:rsidP="00C44BD7">
            <w:pPr>
              <w:spacing w:after="120" w:line="240" w:lineRule="auto"/>
              <w:jc w:val="center"/>
              <w:rPr>
                <w:rFonts w:ascii="Times New Roman" w:hAnsi="Times New Roman"/>
                <w:b/>
                <w:bCs/>
                <w:sz w:val="24"/>
                <w:szCs w:val="24"/>
              </w:rPr>
            </w:pPr>
            <w:r>
              <w:rPr>
                <w:rFonts w:ascii="Times New Roman" w:hAnsi="Times New Roman"/>
                <w:b/>
                <w:bCs/>
                <w:sz w:val="24"/>
                <w:szCs w:val="24"/>
              </w:rPr>
              <w:t>PVN, EUR</w:t>
            </w:r>
          </w:p>
        </w:tc>
      </w:tr>
      <w:tr w:rsidR="005C7C0D" w:rsidRPr="00430B9A" w14:paraId="6E914F5A" w14:textId="36DF5ACF" w:rsidTr="005C7C0D">
        <w:tc>
          <w:tcPr>
            <w:tcW w:w="4101" w:type="dxa"/>
            <w:shd w:val="clear" w:color="auto" w:fill="auto"/>
          </w:tcPr>
          <w:p w14:paraId="19E56D98" w14:textId="5D9A2B4A" w:rsidR="005C7C0D" w:rsidRPr="0008689F" w:rsidRDefault="00A9046D" w:rsidP="00A9046D">
            <w:pPr>
              <w:spacing w:after="120" w:line="240" w:lineRule="auto"/>
              <w:rPr>
                <w:rFonts w:ascii="Times New Roman" w:hAnsi="Times New Roman"/>
                <w:bCs/>
                <w:sz w:val="24"/>
                <w:szCs w:val="24"/>
                <w:highlight w:val="yellow"/>
              </w:rPr>
            </w:pPr>
            <w:r w:rsidRPr="00A9046D">
              <w:rPr>
                <w:rFonts w:ascii="Times New Roman" w:hAnsi="Times New Roman" w:cs="Times New Roman"/>
                <w:color w:val="000000" w:themeColor="text1"/>
                <w:sz w:val="24"/>
                <w:szCs w:val="24"/>
              </w:rPr>
              <w:t>Kartes “Central Baltic Small Ports”</w:t>
            </w:r>
            <w:r>
              <w:rPr>
                <w:rFonts w:ascii="Times New Roman" w:hAnsi="Times New Roman" w:cs="Times New Roman"/>
                <w:bCs/>
                <w:sz w:val="24"/>
                <w:szCs w:val="24"/>
              </w:rPr>
              <w:t xml:space="preserve"> </w:t>
            </w:r>
            <w:r w:rsidR="005C7C0D" w:rsidRPr="005C7C0D">
              <w:rPr>
                <w:rFonts w:ascii="Times New Roman" w:hAnsi="Times New Roman" w:cs="Times New Roman"/>
                <w:bCs/>
                <w:sz w:val="24"/>
                <w:szCs w:val="24"/>
              </w:rPr>
              <w:t>maketēšana</w:t>
            </w:r>
            <w:r w:rsidR="005C7C0D">
              <w:rPr>
                <w:rFonts w:ascii="Times New Roman" w:hAnsi="Times New Roman" w:cs="Times New Roman"/>
                <w:bCs/>
                <w:sz w:val="24"/>
                <w:szCs w:val="24"/>
              </w:rPr>
              <w:t>s pakalpojums</w:t>
            </w:r>
          </w:p>
        </w:tc>
        <w:tc>
          <w:tcPr>
            <w:tcW w:w="1559" w:type="dxa"/>
          </w:tcPr>
          <w:p w14:paraId="11AA1ABE" w14:textId="77777777" w:rsidR="005C7C0D" w:rsidRPr="00430B9A" w:rsidRDefault="005C7C0D" w:rsidP="00C44BD7">
            <w:pPr>
              <w:spacing w:after="120" w:line="240" w:lineRule="auto"/>
              <w:jc w:val="both"/>
              <w:rPr>
                <w:rFonts w:ascii="Times New Roman" w:hAnsi="Times New Roman"/>
                <w:sz w:val="24"/>
                <w:szCs w:val="24"/>
              </w:rPr>
            </w:pPr>
          </w:p>
        </w:tc>
        <w:tc>
          <w:tcPr>
            <w:tcW w:w="1418" w:type="dxa"/>
          </w:tcPr>
          <w:p w14:paraId="45D0992E" w14:textId="77777777" w:rsidR="005C7C0D" w:rsidRPr="00430B9A" w:rsidRDefault="005C7C0D" w:rsidP="00C44BD7">
            <w:pPr>
              <w:spacing w:after="120" w:line="240" w:lineRule="auto"/>
              <w:jc w:val="both"/>
              <w:rPr>
                <w:rFonts w:ascii="Times New Roman" w:hAnsi="Times New Roman"/>
                <w:sz w:val="24"/>
                <w:szCs w:val="24"/>
              </w:rPr>
            </w:pPr>
          </w:p>
        </w:tc>
        <w:tc>
          <w:tcPr>
            <w:tcW w:w="1701" w:type="dxa"/>
          </w:tcPr>
          <w:p w14:paraId="31AB7DB5" w14:textId="77777777" w:rsidR="005C7C0D" w:rsidRPr="00430B9A" w:rsidRDefault="005C7C0D" w:rsidP="00C44BD7">
            <w:pPr>
              <w:spacing w:after="120" w:line="240" w:lineRule="auto"/>
              <w:jc w:val="both"/>
              <w:rPr>
                <w:rFonts w:ascii="Times New Roman" w:hAnsi="Times New Roman"/>
                <w:sz w:val="24"/>
                <w:szCs w:val="24"/>
              </w:rPr>
            </w:pPr>
          </w:p>
        </w:tc>
      </w:tr>
    </w:tbl>
    <w:p w14:paraId="579E2123" w14:textId="77777777" w:rsidR="005C7C0D" w:rsidRPr="00D6554C" w:rsidRDefault="005C7C0D" w:rsidP="005C7C0D">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5C7C0D" w:rsidRPr="00D6554C" w14:paraId="3714F6EE" w14:textId="77777777" w:rsidTr="00C44BD7">
        <w:tc>
          <w:tcPr>
            <w:tcW w:w="2518" w:type="dxa"/>
            <w:tcBorders>
              <w:top w:val="single" w:sz="4" w:space="0" w:color="000000"/>
              <w:left w:val="single" w:sz="4" w:space="0" w:color="000000"/>
              <w:bottom w:val="single" w:sz="4" w:space="0" w:color="000000"/>
            </w:tcBorders>
            <w:shd w:val="clear" w:color="auto" w:fill="auto"/>
          </w:tcPr>
          <w:p w14:paraId="686A15DA" w14:textId="77777777" w:rsidR="005C7C0D" w:rsidRPr="00D6554C" w:rsidRDefault="005C7C0D" w:rsidP="00C44BD7">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8D539BE" w14:textId="77777777" w:rsidR="005C7C0D" w:rsidRPr="00D6554C" w:rsidRDefault="005C7C0D" w:rsidP="00C44BD7">
            <w:pPr>
              <w:spacing w:after="120" w:line="240" w:lineRule="auto"/>
              <w:jc w:val="both"/>
              <w:rPr>
                <w:rFonts w:ascii="Times New Roman" w:hAnsi="Times New Roman"/>
                <w:sz w:val="24"/>
                <w:szCs w:val="24"/>
              </w:rPr>
            </w:pPr>
          </w:p>
        </w:tc>
      </w:tr>
      <w:tr w:rsidR="005C7C0D" w:rsidRPr="00D6554C" w14:paraId="45833D17" w14:textId="77777777" w:rsidTr="00C44BD7">
        <w:tc>
          <w:tcPr>
            <w:tcW w:w="2518" w:type="dxa"/>
            <w:tcBorders>
              <w:top w:val="single" w:sz="4" w:space="0" w:color="000000"/>
              <w:left w:val="single" w:sz="4" w:space="0" w:color="000000"/>
              <w:bottom w:val="single" w:sz="4" w:space="0" w:color="000000"/>
            </w:tcBorders>
            <w:shd w:val="clear" w:color="auto" w:fill="auto"/>
          </w:tcPr>
          <w:p w14:paraId="3A51D82F" w14:textId="77777777" w:rsidR="005C7C0D" w:rsidRPr="00D6554C" w:rsidRDefault="005C7C0D" w:rsidP="00C44BD7">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0DF671A" w14:textId="77777777" w:rsidR="005C7C0D" w:rsidRPr="00D6554C" w:rsidRDefault="005C7C0D" w:rsidP="00C44BD7">
            <w:pPr>
              <w:spacing w:after="120" w:line="240" w:lineRule="auto"/>
              <w:jc w:val="both"/>
              <w:rPr>
                <w:rFonts w:ascii="Times New Roman" w:hAnsi="Times New Roman"/>
                <w:sz w:val="24"/>
                <w:szCs w:val="24"/>
              </w:rPr>
            </w:pPr>
          </w:p>
        </w:tc>
      </w:tr>
      <w:tr w:rsidR="005C7C0D" w:rsidRPr="00D6554C" w14:paraId="09508DB5" w14:textId="77777777" w:rsidTr="00C44BD7">
        <w:tc>
          <w:tcPr>
            <w:tcW w:w="2518" w:type="dxa"/>
            <w:tcBorders>
              <w:top w:val="single" w:sz="4" w:space="0" w:color="000000"/>
              <w:left w:val="single" w:sz="4" w:space="0" w:color="000000"/>
              <w:bottom w:val="single" w:sz="4" w:space="0" w:color="000000"/>
            </w:tcBorders>
            <w:shd w:val="clear" w:color="auto" w:fill="auto"/>
          </w:tcPr>
          <w:p w14:paraId="56CB83E1" w14:textId="77777777" w:rsidR="005C7C0D" w:rsidRPr="00D6554C" w:rsidRDefault="005C7C0D" w:rsidP="00C44BD7">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88F377D" w14:textId="77777777" w:rsidR="005C7C0D" w:rsidRPr="00D6554C" w:rsidRDefault="005C7C0D" w:rsidP="00C44BD7">
            <w:pPr>
              <w:spacing w:after="120" w:line="240" w:lineRule="auto"/>
              <w:jc w:val="both"/>
              <w:rPr>
                <w:rFonts w:ascii="Times New Roman" w:hAnsi="Times New Roman"/>
                <w:sz w:val="24"/>
                <w:szCs w:val="24"/>
              </w:rPr>
            </w:pPr>
          </w:p>
        </w:tc>
      </w:tr>
    </w:tbl>
    <w:p w14:paraId="5E378A8A" w14:textId="77777777" w:rsidR="005C7C0D" w:rsidRPr="005C7C0D" w:rsidRDefault="005C7C0D" w:rsidP="00BB00EE">
      <w:pPr>
        <w:spacing w:after="120" w:line="240" w:lineRule="auto"/>
        <w:jc w:val="both"/>
        <w:rPr>
          <w:rFonts w:ascii="Times New Roman" w:hAnsi="Times New Roman" w:cs="Times New Roman"/>
          <w:color w:val="000000" w:themeColor="text1"/>
          <w:sz w:val="24"/>
          <w:szCs w:val="24"/>
        </w:rPr>
      </w:pPr>
    </w:p>
    <w:sectPr w:rsidR="005C7C0D" w:rsidRPr="005C7C0D">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4FFE" w16cex:dateUtc="2021-04-27T0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AB520D" w16cid:durableId="24324F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03A46" w14:textId="77777777" w:rsidR="001B6193" w:rsidRDefault="001B6193" w:rsidP="005C7C0D">
      <w:pPr>
        <w:spacing w:after="0" w:line="240" w:lineRule="auto"/>
      </w:pPr>
      <w:r>
        <w:separator/>
      </w:r>
    </w:p>
  </w:endnote>
  <w:endnote w:type="continuationSeparator" w:id="0">
    <w:p w14:paraId="0EA2932C" w14:textId="77777777" w:rsidR="001B6193" w:rsidRDefault="001B6193" w:rsidP="005C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30751" w14:textId="77777777" w:rsidR="001B6193" w:rsidRDefault="001B6193" w:rsidP="005C7C0D">
      <w:pPr>
        <w:spacing w:after="0" w:line="240" w:lineRule="auto"/>
      </w:pPr>
      <w:r>
        <w:separator/>
      </w:r>
    </w:p>
  </w:footnote>
  <w:footnote w:type="continuationSeparator" w:id="0">
    <w:p w14:paraId="0F6C6E67" w14:textId="77777777" w:rsidR="001B6193" w:rsidRDefault="001B6193" w:rsidP="005C7C0D">
      <w:pPr>
        <w:spacing w:after="0" w:line="240" w:lineRule="auto"/>
      </w:pPr>
      <w:r>
        <w:continuationSeparator/>
      </w:r>
    </w:p>
  </w:footnote>
  <w:footnote w:id="1">
    <w:p w14:paraId="5AFAFED7" w14:textId="77777777" w:rsidR="005C7C0D" w:rsidRPr="00CD08C0" w:rsidRDefault="005C7C0D" w:rsidP="005C7C0D">
      <w:pPr>
        <w:pStyle w:val="FootnoteText"/>
        <w:spacing w:after="60"/>
        <w:jc w:val="both"/>
        <w:rPr>
          <w:rFonts w:ascii="Times New Roman" w:hAnsi="Times New Roman"/>
          <w:color w:val="000000"/>
        </w:rPr>
      </w:pPr>
      <w:r w:rsidRPr="00CD08C0">
        <w:rPr>
          <w:rStyle w:val="FootnoteReferen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6A0F6607" w14:textId="77777777" w:rsidR="005C7C0D" w:rsidRPr="00CD08C0" w:rsidRDefault="005C7C0D" w:rsidP="005C7C0D">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3">
    <w:p w14:paraId="6BCA1845" w14:textId="77777777" w:rsidR="005C7C0D" w:rsidRPr="00CD08C0" w:rsidRDefault="005C7C0D" w:rsidP="005C7C0D">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43120754" w14:textId="77777777" w:rsidR="005C7C0D" w:rsidRPr="00CD08C0" w:rsidRDefault="005C7C0D" w:rsidP="005C7C0D">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5">
    <w:p w14:paraId="25AFE986" w14:textId="77777777" w:rsidR="005C7C0D" w:rsidRPr="00CD08C0" w:rsidRDefault="005C7C0D" w:rsidP="005C7C0D">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88D"/>
    <w:multiLevelType w:val="multilevel"/>
    <w:tmpl w:val="325C64D0"/>
    <w:lvl w:ilvl="0">
      <w:start w:val="5"/>
      <w:numFmt w:val="decimal"/>
      <w:lvlText w:val="%1."/>
      <w:lvlJc w:val="left"/>
      <w:pPr>
        <w:ind w:left="540" w:hanging="540"/>
      </w:pPr>
      <w:rPr>
        <w:sz w:val="24"/>
      </w:rPr>
    </w:lvl>
    <w:lvl w:ilvl="1">
      <w:start w:val="3"/>
      <w:numFmt w:val="decimal"/>
      <w:lvlText w:val="%1.%2."/>
      <w:lvlJc w:val="left"/>
      <w:pPr>
        <w:ind w:left="540" w:hanging="54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1" w15:restartNumberingAfterBreak="0">
    <w:nsid w:val="07EB7B28"/>
    <w:multiLevelType w:val="multilevel"/>
    <w:tmpl w:val="45F895D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3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1D71F0"/>
    <w:multiLevelType w:val="hybridMultilevel"/>
    <w:tmpl w:val="2A28A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DC49A6"/>
    <w:multiLevelType w:val="multilevel"/>
    <w:tmpl w:val="38CC492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02D65B3"/>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7D33EE7"/>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45"/>
    <w:rsid w:val="00083D6F"/>
    <w:rsid w:val="000B5861"/>
    <w:rsid w:val="000F2321"/>
    <w:rsid w:val="00187E8C"/>
    <w:rsid w:val="001B6193"/>
    <w:rsid w:val="001E0126"/>
    <w:rsid w:val="001E7ECF"/>
    <w:rsid w:val="00200166"/>
    <w:rsid w:val="00287554"/>
    <w:rsid w:val="003E1E50"/>
    <w:rsid w:val="00443016"/>
    <w:rsid w:val="00472412"/>
    <w:rsid w:val="00472FD4"/>
    <w:rsid w:val="004A3C41"/>
    <w:rsid w:val="004A546B"/>
    <w:rsid w:val="004F1D19"/>
    <w:rsid w:val="005123A1"/>
    <w:rsid w:val="005C7C0D"/>
    <w:rsid w:val="005D0827"/>
    <w:rsid w:val="005F68CA"/>
    <w:rsid w:val="006D4EE1"/>
    <w:rsid w:val="00723419"/>
    <w:rsid w:val="00775178"/>
    <w:rsid w:val="007950D5"/>
    <w:rsid w:val="007C0D20"/>
    <w:rsid w:val="007E70DD"/>
    <w:rsid w:val="00811E99"/>
    <w:rsid w:val="00836473"/>
    <w:rsid w:val="008F634B"/>
    <w:rsid w:val="009A6C67"/>
    <w:rsid w:val="00A449CD"/>
    <w:rsid w:val="00A6647D"/>
    <w:rsid w:val="00A90458"/>
    <w:rsid w:val="00A9046D"/>
    <w:rsid w:val="00A947C9"/>
    <w:rsid w:val="00AD2C83"/>
    <w:rsid w:val="00B23538"/>
    <w:rsid w:val="00B249CD"/>
    <w:rsid w:val="00B263B0"/>
    <w:rsid w:val="00B84CAC"/>
    <w:rsid w:val="00BB00EE"/>
    <w:rsid w:val="00BC0D35"/>
    <w:rsid w:val="00BC111F"/>
    <w:rsid w:val="00C6666C"/>
    <w:rsid w:val="00CB732F"/>
    <w:rsid w:val="00CC2298"/>
    <w:rsid w:val="00D02D28"/>
    <w:rsid w:val="00D33D52"/>
    <w:rsid w:val="00D36903"/>
    <w:rsid w:val="00D67BC0"/>
    <w:rsid w:val="00D96533"/>
    <w:rsid w:val="00DD489A"/>
    <w:rsid w:val="00E42F00"/>
    <w:rsid w:val="00EE7F26"/>
    <w:rsid w:val="00F82885"/>
    <w:rsid w:val="00FC5145"/>
    <w:rsid w:val="00FD422B"/>
    <w:rsid w:val="00FF16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2720"/>
  <w15:chartTrackingRefBased/>
  <w15:docId w15:val="{3B9A1528-66FF-4ADB-B636-F6D4AACB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H&amp;P List Paragraph,Saistīto dokumentu saraksts,Bullet list,Colorful List - Accent 12,Normal bullet 2"/>
    <w:basedOn w:val="Normal"/>
    <w:link w:val="ListParagraphChar"/>
    <w:uiPriority w:val="34"/>
    <w:qFormat/>
    <w:rsid w:val="00FC5145"/>
    <w:pPr>
      <w:ind w:left="720"/>
      <w:contextualSpacing/>
    </w:pPr>
  </w:style>
  <w:style w:type="character" w:styleId="CommentReference">
    <w:name w:val="annotation reference"/>
    <w:basedOn w:val="DefaultParagraphFont"/>
    <w:uiPriority w:val="99"/>
    <w:semiHidden/>
    <w:unhideWhenUsed/>
    <w:rsid w:val="00FC5145"/>
    <w:rPr>
      <w:sz w:val="18"/>
      <w:szCs w:val="18"/>
    </w:rPr>
  </w:style>
  <w:style w:type="paragraph" w:styleId="CommentText">
    <w:name w:val="annotation text"/>
    <w:basedOn w:val="Normal"/>
    <w:link w:val="CommentTextChar"/>
    <w:uiPriority w:val="99"/>
    <w:semiHidden/>
    <w:unhideWhenUsed/>
    <w:rsid w:val="00FC5145"/>
    <w:pPr>
      <w:spacing w:line="240" w:lineRule="auto"/>
    </w:pPr>
    <w:rPr>
      <w:sz w:val="24"/>
      <w:szCs w:val="24"/>
    </w:rPr>
  </w:style>
  <w:style w:type="character" w:customStyle="1" w:styleId="CommentTextChar">
    <w:name w:val="Comment Text Char"/>
    <w:basedOn w:val="DefaultParagraphFont"/>
    <w:link w:val="CommentText"/>
    <w:uiPriority w:val="99"/>
    <w:semiHidden/>
    <w:rsid w:val="00FC5145"/>
    <w:rPr>
      <w:sz w:val="24"/>
      <w:szCs w:val="24"/>
    </w:rPr>
  </w:style>
  <w:style w:type="paragraph" w:styleId="BalloonText">
    <w:name w:val="Balloon Text"/>
    <w:basedOn w:val="Normal"/>
    <w:link w:val="BalloonTextChar"/>
    <w:uiPriority w:val="99"/>
    <w:semiHidden/>
    <w:unhideWhenUsed/>
    <w:rsid w:val="00FC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45"/>
    <w:rPr>
      <w:rFonts w:ascii="Segoe UI" w:hAnsi="Segoe UI" w:cs="Segoe UI"/>
      <w:sz w:val="18"/>
      <w:szCs w:val="18"/>
    </w:rPr>
  </w:style>
  <w:style w:type="character" w:customStyle="1" w:styleId="im">
    <w:name w:val="im"/>
    <w:basedOn w:val="DefaultParagraphFont"/>
    <w:rsid w:val="00FC5145"/>
  </w:style>
  <w:style w:type="character" w:customStyle="1" w:styleId="il">
    <w:name w:val="il"/>
    <w:basedOn w:val="DefaultParagraphFont"/>
    <w:rsid w:val="00FC5145"/>
  </w:style>
  <w:style w:type="table" w:styleId="TableGrid">
    <w:name w:val="Table Grid"/>
    <w:basedOn w:val="TableNormal"/>
    <w:uiPriority w:val="39"/>
    <w:rsid w:val="00BC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3538"/>
    <w:rPr>
      <w:color w:val="0563C1" w:themeColor="hyperlink"/>
      <w:u w:val="single"/>
    </w:rPr>
  </w:style>
  <w:style w:type="character" w:customStyle="1" w:styleId="ListParagraphChar">
    <w:name w:val="List Paragraph Char"/>
    <w:aliases w:val="Strip Char,2 Char,H&amp;P List Paragraph Char,Saistīto dokumentu saraksts Char,Bullet list Char,Colorful List - Accent 12 Char,Normal bullet 2 Char"/>
    <w:link w:val="ListParagraph"/>
    <w:uiPriority w:val="34"/>
    <w:locked/>
    <w:rsid w:val="00B23538"/>
  </w:style>
  <w:style w:type="character" w:styleId="Strong">
    <w:name w:val="Strong"/>
    <w:basedOn w:val="DefaultParagraphFont"/>
    <w:uiPriority w:val="22"/>
    <w:qFormat/>
    <w:rsid w:val="00B23538"/>
    <w:rPr>
      <w:b/>
      <w:bCs/>
    </w:rPr>
  </w:style>
  <w:style w:type="character" w:customStyle="1" w:styleId="Neatrisintapieminana1">
    <w:name w:val="Neatrisināta pieminēšana1"/>
    <w:basedOn w:val="DefaultParagraphFont"/>
    <w:uiPriority w:val="99"/>
    <w:semiHidden/>
    <w:unhideWhenUsed/>
    <w:rsid w:val="00B23538"/>
    <w:rPr>
      <w:color w:val="605E5C"/>
      <w:shd w:val="clear" w:color="auto" w:fill="E1DFDD"/>
    </w:r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5C7C0D"/>
    <w:pPr>
      <w:spacing w:after="0" w:line="240" w:lineRule="auto"/>
    </w:pPr>
    <w:rPr>
      <w:rFonts w:ascii="Calibri" w:eastAsia="Calibri" w:hAnsi="Calibri" w:cs="Times New Roman"/>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5C7C0D"/>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5C7C0D"/>
    <w:rPr>
      <w:vertAlign w:val="superscript"/>
    </w:rPr>
  </w:style>
  <w:style w:type="paragraph" w:customStyle="1" w:styleId="CharCharCharChar">
    <w:name w:val="Char Char Char Char"/>
    <w:aliases w:val="Char2"/>
    <w:basedOn w:val="Normal"/>
    <w:next w:val="Normal"/>
    <w:link w:val="FootnoteReference"/>
    <w:uiPriority w:val="99"/>
    <w:rsid w:val="005C7C0D"/>
    <w:pPr>
      <w:keepNext/>
      <w:keepLines/>
      <w:spacing w:before="120" w:line="240" w:lineRule="exact"/>
      <w:jc w:val="both"/>
      <w:outlineLvl w:val="0"/>
    </w:pPr>
    <w:rPr>
      <w:vertAlign w:val="superscript"/>
    </w:rPr>
  </w:style>
  <w:style w:type="paragraph" w:styleId="CommentSubject">
    <w:name w:val="annotation subject"/>
    <w:basedOn w:val="CommentText"/>
    <w:next w:val="CommentText"/>
    <w:link w:val="CommentSubjectChar"/>
    <w:uiPriority w:val="99"/>
    <w:semiHidden/>
    <w:unhideWhenUsed/>
    <w:rsid w:val="00D02D28"/>
    <w:rPr>
      <w:b/>
      <w:bCs/>
      <w:sz w:val="20"/>
      <w:szCs w:val="20"/>
    </w:rPr>
  </w:style>
  <w:style w:type="character" w:customStyle="1" w:styleId="CommentSubjectChar">
    <w:name w:val="Comment Subject Char"/>
    <w:basedOn w:val="CommentTextChar"/>
    <w:link w:val="CommentSubject"/>
    <w:uiPriority w:val="99"/>
    <w:semiHidden/>
    <w:rsid w:val="00D02D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4274">
      <w:bodyDiv w:val="1"/>
      <w:marLeft w:val="0"/>
      <w:marRight w:val="0"/>
      <w:marTop w:val="0"/>
      <w:marBottom w:val="0"/>
      <w:divBdr>
        <w:top w:val="none" w:sz="0" w:space="0" w:color="auto"/>
        <w:left w:val="none" w:sz="0" w:space="0" w:color="auto"/>
        <w:bottom w:val="none" w:sz="0" w:space="0" w:color="auto"/>
        <w:right w:val="none" w:sz="0" w:space="0" w:color="auto"/>
      </w:divBdr>
    </w:div>
    <w:div w:id="14742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gaile@kurzemesregions.lv" TargetMode="External"/><Relationship Id="rId3" Type="http://schemas.openxmlformats.org/officeDocument/2006/relationships/settings" Target="settings.xml"/><Relationship Id="rId7" Type="http://schemas.openxmlformats.org/officeDocument/2006/relationships/hyperlink" Target="mailto:zane.gaile@kurzemesregions.lv"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5775</Words>
  <Characters>3292</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2021-04-29T09:10:00Z</dcterms:created>
  <dcterms:modified xsi:type="dcterms:W3CDTF">2021-04-29T09:38:00Z</dcterms:modified>
</cp:coreProperties>
</file>