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A4" w:rsidRPr="00935FDA" w:rsidRDefault="00F006D2" w:rsidP="00935FDA">
      <w:pPr>
        <w:pStyle w:val="NoSpacing"/>
        <w:jc w:val="center"/>
        <w:rPr>
          <w:b/>
          <w:bCs/>
          <w:sz w:val="28"/>
          <w:szCs w:val="24"/>
        </w:rPr>
      </w:pPr>
      <w:r w:rsidRPr="00935FDA">
        <w:rPr>
          <w:b/>
          <w:bCs/>
          <w:sz w:val="28"/>
          <w:szCs w:val="24"/>
        </w:rPr>
        <w:t>Informatīvais</w:t>
      </w:r>
      <w:r w:rsidR="00BA108D" w:rsidRPr="00935FDA">
        <w:rPr>
          <w:b/>
          <w:bCs/>
          <w:sz w:val="28"/>
          <w:szCs w:val="24"/>
        </w:rPr>
        <w:t xml:space="preserve"> </w:t>
      </w:r>
      <w:r w:rsidR="00F04BA4" w:rsidRPr="00935FDA">
        <w:rPr>
          <w:b/>
          <w:bCs/>
          <w:sz w:val="28"/>
          <w:szCs w:val="24"/>
        </w:rPr>
        <w:t>ziņojums</w:t>
      </w:r>
    </w:p>
    <w:p w:rsidR="00F04BA4" w:rsidRDefault="00A6685E" w:rsidP="00F04BA4">
      <w:pPr>
        <w:jc w:val="center"/>
        <w:rPr>
          <w:b/>
          <w:sz w:val="28"/>
          <w:szCs w:val="24"/>
        </w:rPr>
      </w:pPr>
      <w:r>
        <w:rPr>
          <w:b/>
          <w:sz w:val="28"/>
          <w:szCs w:val="24"/>
        </w:rPr>
        <w:t>"</w:t>
      </w:r>
      <w:r w:rsidR="00F04BA4" w:rsidRPr="00DD148B">
        <w:rPr>
          <w:b/>
          <w:sz w:val="28"/>
          <w:szCs w:val="24"/>
        </w:rPr>
        <w:t xml:space="preserve">Par </w:t>
      </w:r>
      <w:r w:rsidR="00F04BA4">
        <w:rPr>
          <w:b/>
          <w:sz w:val="28"/>
          <w:szCs w:val="24"/>
        </w:rPr>
        <w:t xml:space="preserve">priekšlikumiem </w:t>
      </w:r>
      <w:r w:rsidR="00F04BA4" w:rsidRPr="00F04BA4">
        <w:rPr>
          <w:b/>
          <w:sz w:val="28"/>
          <w:szCs w:val="24"/>
        </w:rPr>
        <w:t>pedagogu da</w:t>
      </w:r>
      <w:r w:rsidR="00F04BA4">
        <w:rPr>
          <w:b/>
          <w:sz w:val="28"/>
          <w:szCs w:val="24"/>
        </w:rPr>
        <w:t xml:space="preserve">rba samaksas </w:t>
      </w:r>
      <w:r>
        <w:rPr>
          <w:b/>
          <w:sz w:val="28"/>
          <w:szCs w:val="24"/>
        </w:rPr>
        <w:br/>
      </w:r>
      <w:r w:rsidR="00F04BA4">
        <w:rPr>
          <w:b/>
          <w:sz w:val="28"/>
          <w:szCs w:val="24"/>
        </w:rPr>
        <w:t>finansēšanas modeļa pilnveidei</w:t>
      </w:r>
      <w:r>
        <w:rPr>
          <w:b/>
          <w:sz w:val="28"/>
          <w:szCs w:val="24"/>
        </w:rPr>
        <w:t>"</w:t>
      </w:r>
    </w:p>
    <w:p w:rsidR="00935FDA" w:rsidRDefault="00935FDA" w:rsidP="00935FDA">
      <w:pPr>
        <w:ind w:firstLine="0"/>
        <w:rPr>
          <w:b/>
          <w:sz w:val="28"/>
          <w:szCs w:val="24"/>
        </w:rPr>
      </w:pPr>
    </w:p>
    <w:sdt>
      <w:sdtPr>
        <w:rPr>
          <w:b/>
        </w:rPr>
        <w:id w:val="278378514"/>
        <w:docPartObj>
          <w:docPartGallery w:val="Table of Contents"/>
          <w:docPartUnique/>
        </w:docPartObj>
      </w:sdtPr>
      <w:sdtEndPr>
        <w:rPr>
          <w:b w:val="0"/>
          <w:bCs/>
          <w:noProof/>
        </w:rPr>
      </w:sdtEndPr>
      <w:sdtContent>
        <w:p w:rsidR="00F601DF" w:rsidRPr="00A6685E" w:rsidRDefault="00A6685E" w:rsidP="00935FDA">
          <w:pPr>
            <w:ind w:firstLine="0"/>
          </w:pPr>
          <w:r w:rsidRPr="00A6685E">
            <w:t>Satura rādītājs</w:t>
          </w:r>
        </w:p>
        <w:p w:rsidR="00A809E4" w:rsidRDefault="00F601DF">
          <w:pPr>
            <w:pStyle w:val="TOC1"/>
            <w:rPr>
              <w:rFonts w:asciiTheme="minorHAnsi" w:eastAsiaTheme="minorEastAsia" w:hAnsiTheme="minorHAnsi"/>
              <w:noProof/>
              <w:sz w:val="22"/>
              <w:lang w:eastAsia="lv-LV"/>
            </w:rPr>
          </w:pPr>
          <w:r>
            <w:fldChar w:fldCharType="begin"/>
          </w:r>
          <w:r>
            <w:instrText xml:space="preserve"> TOC \o "1-3" \h \z \u </w:instrText>
          </w:r>
          <w:r>
            <w:fldChar w:fldCharType="separate"/>
          </w:r>
          <w:hyperlink w:anchor="_Toc81299614" w:history="1">
            <w:r w:rsidR="00A809E4" w:rsidRPr="000B3F3A">
              <w:rPr>
                <w:rStyle w:val="Hyperlink"/>
                <w:noProof/>
              </w:rPr>
              <w:t>Ievads</w:t>
            </w:r>
            <w:r w:rsidR="00A809E4">
              <w:rPr>
                <w:noProof/>
                <w:webHidden/>
              </w:rPr>
              <w:tab/>
            </w:r>
            <w:r w:rsidR="00A809E4">
              <w:rPr>
                <w:noProof/>
                <w:webHidden/>
              </w:rPr>
              <w:fldChar w:fldCharType="begin"/>
            </w:r>
            <w:r w:rsidR="00A809E4">
              <w:rPr>
                <w:noProof/>
                <w:webHidden/>
              </w:rPr>
              <w:instrText xml:space="preserve"> PAGEREF _Toc81299614 \h </w:instrText>
            </w:r>
            <w:r w:rsidR="00A809E4">
              <w:rPr>
                <w:noProof/>
                <w:webHidden/>
              </w:rPr>
            </w:r>
            <w:r w:rsidR="00A809E4">
              <w:rPr>
                <w:noProof/>
                <w:webHidden/>
              </w:rPr>
              <w:fldChar w:fldCharType="separate"/>
            </w:r>
            <w:r w:rsidR="00A809E4">
              <w:rPr>
                <w:noProof/>
                <w:webHidden/>
              </w:rPr>
              <w:t>1</w:t>
            </w:r>
            <w:r w:rsidR="00A809E4">
              <w:rPr>
                <w:noProof/>
                <w:webHidden/>
              </w:rPr>
              <w:fldChar w:fldCharType="end"/>
            </w:r>
          </w:hyperlink>
        </w:p>
        <w:p w:rsidR="00A809E4" w:rsidRDefault="00A21E09">
          <w:pPr>
            <w:pStyle w:val="TOC1"/>
            <w:rPr>
              <w:rFonts w:asciiTheme="minorHAnsi" w:eastAsiaTheme="minorEastAsia" w:hAnsiTheme="minorHAnsi"/>
              <w:noProof/>
              <w:sz w:val="22"/>
              <w:lang w:eastAsia="lv-LV"/>
            </w:rPr>
          </w:pPr>
          <w:hyperlink w:anchor="_Toc81299615" w:history="1">
            <w:r w:rsidR="00A809E4" w:rsidRPr="000B3F3A">
              <w:rPr>
                <w:rStyle w:val="Hyperlink"/>
                <w:noProof/>
              </w:rPr>
              <w:t>1. Pašvaldību vispārizglītojošo skolu (izņemot speciālās skolas) pedagogu atalgojums un skolu tīkls – esošās situācijas apraksts</w:t>
            </w:r>
            <w:r w:rsidR="00A809E4">
              <w:rPr>
                <w:noProof/>
                <w:webHidden/>
              </w:rPr>
              <w:tab/>
            </w:r>
            <w:r w:rsidR="00A809E4">
              <w:rPr>
                <w:noProof/>
                <w:webHidden/>
              </w:rPr>
              <w:fldChar w:fldCharType="begin"/>
            </w:r>
            <w:r w:rsidR="00A809E4">
              <w:rPr>
                <w:noProof/>
                <w:webHidden/>
              </w:rPr>
              <w:instrText xml:space="preserve"> PAGEREF _Toc81299615 \h </w:instrText>
            </w:r>
            <w:r w:rsidR="00A809E4">
              <w:rPr>
                <w:noProof/>
                <w:webHidden/>
              </w:rPr>
            </w:r>
            <w:r w:rsidR="00A809E4">
              <w:rPr>
                <w:noProof/>
                <w:webHidden/>
              </w:rPr>
              <w:fldChar w:fldCharType="separate"/>
            </w:r>
            <w:r w:rsidR="00A809E4">
              <w:rPr>
                <w:noProof/>
                <w:webHidden/>
              </w:rPr>
              <w:t>2</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16" w:history="1">
            <w:r w:rsidR="00A809E4" w:rsidRPr="000B3F3A">
              <w:rPr>
                <w:rStyle w:val="Hyperlink"/>
                <w:noProof/>
              </w:rPr>
              <w:t>1.1. Spēkā esošais finansējuma aprēķins, reālā pedagogu noslodze un atalgojums</w:t>
            </w:r>
            <w:r w:rsidR="00A809E4">
              <w:rPr>
                <w:noProof/>
                <w:webHidden/>
              </w:rPr>
              <w:tab/>
            </w:r>
            <w:r w:rsidR="00A809E4">
              <w:rPr>
                <w:noProof/>
                <w:webHidden/>
              </w:rPr>
              <w:fldChar w:fldCharType="begin"/>
            </w:r>
            <w:r w:rsidR="00A809E4">
              <w:rPr>
                <w:noProof/>
                <w:webHidden/>
              </w:rPr>
              <w:instrText xml:space="preserve"> PAGEREF _Toc81299616 \h </w:instrText>
            </w:r>
            <w:r w:rsidR="00A809E4">
              <w:rPr>
                <w:noProof/>
                <w:webHidden/>
              </w:rPr>
            </w:r>
            <w:r w:rsidR="00A809E4">
              <w:rPr>
                <w:noProof/>
                <w:webHidden/>
              </w:rPr>
              <w:fldChar w:fldCharType="separate"/>
            </w:r>
            <w:r w:rsidR="00A809E4">
              <w:rPr>
                <w:noProof/>
                <w:webHidden/>
              </w:rPr>
              <w:t>2</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17" w:history="1">
            <w:r w:rsidR="00A809E4" w:rsidRPr="000B3F3A">
              <w:rPr>
                <w:rStyle w:val="Hyperlink"/>
                <w:noProof/>
              </w:rPr>
              <w:t>1.2. Pašvaldību vispārizglītojošo skolu tīkla raksturojums</w:t>
            </w:r>
            <w:r w:rsidR="00A809E4">
              <w:rPr>
                <w:noProof/>
                <w:webHidden/>
              </w:rPr>
              <w:tab/>
            </w:r>
            <w:r w:rsidR="00A809E4">
              <w:rPr>
                <w:noProof/>
                <w:webHidden/>
              </w:rPr>
              <w:fldChar w:fldCharType="begin"/>
            </w:r>
            <w:r w:rsidR="00A809E4">
              <w:rPr>
                <w:noProof/>
                <w:webHidden/>
              </w:rPr>
              <w:instrText xml:space="preserve"> PAGEREF _Toc81299617 \h </w:instrText>
            </w:r>
            <w:r w:rsidR="00A809E4">
              <w:rPr>
                <w:noProof/>
                <w:webHidden/>
              </w:rPr>
            </w:r>
            <w:r w:rsidR="00A809E4">
              <w:rPr>
                <w:noProof/>
                <w:webHidden/>
              </w:rPr>
              <w:fldChar w:fldCharType="separate"/>
            </w:r>
            <w:r w:rsidR="00A809E4">
              <w:rPr>
                <w:noProof/>
                <w:webHidden/>
              </w:rPr>
              <w:t>5</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18" w:history="1">
            <w:r w:rsidR="00A809E4" w:rsidRPr="000B3F3A">
              <w:rPr>
                <w:rStyle w:val="Hyperlink"/>
                <w:noProof/>
              </w:rPr>
              <w:t>1.3. Pedagogu atalgojums un darba slodze Igaunijā un Lietuvā</w:t>
            </w:r>
            <w:r w:rsidR="00A809E4">
              <w:rPr>
                <w:noProof/>
                <w:webHidden/>
              </w:rPr>
              <w:tab/>
            </w:r>
            <w:r w:rsidR="00A809E4">
              <w:rPr>
                <w:noProof/>
                <w:webHidden/>
              </w:rPr>
              <w:fldChar w:fldCharType="begin"/>
            </w:r>
            <w:r w:rsidR="00A809E4">
              <w:rPr>
                <w:noProof/>
                <w:webHidden/>
              </w:rPr>
              <w:instrText xml:space="preserve"> PAGEREF _Toc81299618 \h </w:instrText>
            </w:r>
            <w:r w:rsidR="00A809E4">
              <w:rPr>
                <w:noProof/>
                <w:webHidden/>
              </w:rPr>
            </w:r>
            <w:r w:rsidR="00A809E4">
              <w:rPr>
                <w:noProof/>
                <w:webHidden/>
              </w:rPr>
              <w:fldChar w:fldCharType="separate"/>
            </w:r>
            <w:r w:rsidR="00A809E4">
              <w:rPr>
                <w:noProof/>
                <w:webHidden/>
              </w:rPr>
              <w:t>8</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19" w:history="1">
            <w:r w:rsidR="00A809E4" w:rsidRPr="000B3F3A">
              <w:rPr>
                <w:rStyle w:val="Hyperlink"/>
                <w:noProof/>
              </w:rPr>
              <w:t>1.4. Izaicinājumi vispārējās izglītības pedagogu darba samaksas finansēšanā</w:t>
            </w:r>
            <w:r w:rsidR="00A809E4">
              <w:rPr>
                <w:noProof/>
                <w:webHidden/>
              </w:rPr>
              <w:tab/>
            </w:r>
            <w:r w:rsidR="00A809E4">
              <w:rPr>
                <w:noProof/>
                <w:webHidden/>
              </w:rPr>
              <w:fldChar w:fldCharType="begin"/>
            </w:r>
            <w:r w:rsidR="00A809E4">
              <w:rPr>
                <w:noProof/>
                <w:webHidden/>
              </w:rPr>
              <w:instrText xml:space="preserve"> PAGEREF _Toc81299619 \h </w:instrText>
            </w:r>
            <w:r w:rsidR="00A809E4">
              <w:rPr>
                <w:noProof/>
                <w:webHidden/>
              </w:rPr>
            </w:r>
            <w:r w:rsidR="00A809E4">
              <w:rPr>
                <w:noProof/>
                <w:webHidden/>
              </w:rPr>
              <w:fldChar w:fldCharType="separate"/>
            </w:r>
            <w:r w:rsidR="00A809E4">
              <w:rPr>
                <w:noProof/>
                <w:webHidden/>
              </w:rPr>
              <w:t>10</w:t>
            </w:r>
            <w:r w:rsidR="00A809E4">
              <w:rPr>
                <w:noProof/>
                <w:webHidden/>
              </w:rPr>
              <w:fldChar w:fldCharType="end"/>
            </w:r>
          </w:hyperlink>
        </w:p>
        <w:p w:rsidR="00A809E4" w:rsidRDefault="00A21E09">
          <w:pPr>
            <w:pStyle w:val="TOC1"/>
            <w:rPr>
              <w:rFonts w:asciiTheme="minorHAnsi" w:eastAsiaTheme="minorEastAsia" w:hAnsiTheme="minorHAnsi"/>
              <w:noProof/>
              <w:sz w:val="22"/>
              <w:lang w:eastAsia="lv-LV"/>
            </w:rPr>
          </w:pPr>
          <w:hyperlink w:anchor="_Toc81299620" w:history="1">
            <w:r w:rsidR="00A809E4" w:rsidRPr="000B3F3A">
              <w:rPr>
                <w:rStyle w:val="Hyperlink"/>
                <w:noProof/>
              </w:rPr>
              <w:t>2. Priekšlikumi valsts finansējuma aprēķina maiņai vispārējās izglītības iestāžu, izņemot speciālās izglītības iestādes, pedagogu darba samaksai</w:t>
            </w:r>
            <w:r w:rsidR="00A809E4">
              <w:rPr>
                <w:noProof/>
                <w:webHidden/>
              </w:rPr>
              <w:tab/>
            </w:r>
            <w:r w:rsidR="00A809E4">
              <w:rPr>
                <w:noProof/>
                <w:webHidden/>
              </w:rPr>
              <w:fldChar w:fldCharType="begin"/>
            </w:r>
            <w:r w:rsidR="00A809E4">
              <w:rPr>
                <w:noProof/>
                <w:webHidden/>
              </w:rPr>
              <w:instrText xml:space="preserve"> PAGEREF _Toc81299620 \h </w:instrText>
            </w:r>
            <w:r w:rsidR="00A809E4">
              <w:rPr>
                <w:noProof/>
                <w:webHidden/>
              </w:rPr>
            </w:r>
            <w:r w:rsidR="00A809E4">
              <w:rPr>
                <w:noProof/>
                <w:webHidden/>
              </w:rPr>
              <w:fldChar w:fldCharType="separate"/>
            </w:r>
            <w:r w:rsidR="00A809E4">
              <w:rPr>
                <w:noProof/>
                <w:webHidden/>
              </w:rPr>
              <w:t>11</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21" w:history="1">
            <w:r w:rsidR="00A809E4" w:rsidRPr="000B3F3A">
              <w:rPr>
                <w:rStyle w:val="Hyperlink"/>
                <w:noProof/>
              </w:rPr>
              <w:t>2.1. Modelis Nr.1: Mācību plāna finansējums normētai skolas klasei –  "Klase skolā"</w:t>
            </w:r>
            <w:r w:rsidR="00A809E4">
              <w:rPr>
                <w:noProof/>
                <w:webHidden/>
              </w:rPr>
              <w:tab/>
            </w:r>
            <w:r w:rsidR="00A809E4">
              <w:rPr>
                <w:noProof/>
                <w:webHidden/>
              </w:rPr>
              <w:fldChar w:fldCharType="begin"/>
            </w:r>
            <w:r w:rsidR="00A809E4">
              <w:rPr>
                <w:noProof/>
                <w:webHidden/>
              </w:rPr>
              <w:instrText xml:space="preserve"> PAGEREF _Toc81299621 \h </w:instrText>
            </w:r>
            <w:r w:rsidR="00A809E4">
              <w:rPr>
                <w:noProof/>
                <w:webHidden/>
              </w:rPr>
            </w:r>
            <w:r w:rsidR="00A809E4">
              <w:rPr>
                <w:noProof/>
                <w:webHidden/>
              </w:rPr>
              <w:fldChar w:fldCharType="separate"/>
            </w:r>
            <w:r w:rsidR="00A809E4">
              <w:rPr>
                <w:noProof/>
                <w:webHidden/>
              </w:rPr>
              <w:t>11</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22" w:history="1">
            <w:r w:rsidR="00A809E4" w:rsidRPr="000B3F3A">
              <w:rPr>
                <w:rStyle w:val="Hyperlink"/>
                <w:noProof/>
              </w:rPr>
              <w:t>2.2. Modelis Nr.2: Finansējuma aprēķins mācību plānam normētai klasei pašvaldībā – "Klase pašvaldībā"</w:t>
            </w:r>
            <w:r w:rsidR="00A809E4">
              <w:rPr>
                <w:noProof/>
                <w:webHidden/>
              </w:rPr>
              <w:tab/>
            </w:r>
            <w:r w:rsidR="00A809E4">
              <w:rPr>
                <w:noProof/>
                <w:webHidden/>
              </w:rPr>
              <w:fldChar w:fldCharType="begin"/>
            </w:r>
            <w:r w:rsidR="00A809E4">
              <w:rPr>
                <w:noProof/>
                <w:webHidden/>
              </w:rPr>
              <w:instrText xml:space="preserve"> PAGEREF _Toc81299622 \h </w:instrText>
            </w:r>
            <w:r w:rsidR="00A809E4">
              <w:rPr>
                <w:noProof/>
                <w:webHidden/>
              </w:rPr>
            </w:r>
            <w:r w:rsidR="00A809E4">
              <w:rPr>
                <w:noProof/>
                <w:webHidden/>
              </w:rPr>
              <w:fldChar w:fldCharType="separate"/>
            </w:r>
            <w:r w:rsidR="00A809E4">
              <w:rPr>
                <w:noProof/>
                <w:webHidden/>
              </w:rPr>
              <w:t>12</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23" w:history="1">
            <w:r w:rsidR="00A809E4" w:rsidRPr="000B3F3A">
              <w:rPr>
                <w:rStyle w:val="Hyperlink"/>
                <w:noProof/>
              </w:rPr>
              <w:t>2.3. Modelis Nr.3: Finansējuma aprēķins pašvaldībai pedagogu darba samaksai uz vienu izglītojamo – "Skolēns pašvaldībā"</w:t>
            </w:r>
            <w:r w:rsidR="00A809E4">
              <w:rPr>
                <w:noProof/>
                <w:webHidden/>
              </w:rPr>
              <w:tab/>
            </w:r>
            <w:r w:rsidR="00A809E4">
              <w:rPr>
                <w:noProof/>
                <w:webHidden/>
              </w:rPr>
              <w:fldChar w:fldCharType="begin"/>
            </w:r>
            <w:r w:rsidR="00A809E4">
              <w:rPr>
                <w:noProof/>
                <w:webHidden/>
              </w:rPr>
              <w:instrText xml:space="preserve"> PAGEREF _Toc81299623 \h </w:instrText>
            </w:r>
            <w:r w:rsidR="00A809E4">
              <w:rPr>
                <w:noProof/>
                <w:webHidden/>
              </w:rPr>
            </w:r>
            <w:r w:rsidR="00A809E4">
              <w:rPr>
                <w:noProof/>
                <w:webHidden/>
              </w:rPr>
              <w:fldChar w:fldCharType="separate"/>
            </w:r>
            <w:r w:rsidR="00A809E4">
              <w:rPr>
                <w:noProof/>
                <w:webHidden/>
              </w:rPr>
              <w:t>13</w:t>
            </w:r>
            <w:r w:rsidR="00A809E4">
              <w:rPr>
                <w:noProof/>
                <w:webHidden/>
              </w:rPr>
              <w:fldChar w:fldCharType="end"/>
            </w:r>
          </w:hyperlink>
        </w:p>
        <w:p w:rsidR="00A809E4" w:rsidRDefault="00A21E09">
          <w:pPr>
            <w:pStyle w:val="TOC2"/>
            <w:rPr>
              <w:rFonts w:asciiTheme="minorHAnsi" w:eastAsiaTheme="minorEastAsia" w:hAnsiTheme="minorHAnsi"/>
              <w:noProof/>
              <w:sz w:val="22"/>
              <w:lang w:eastAsia="lv-LV"/>
            </w:rPr>
          </w:pPr>
          <w:hyperlink w:anchor="_Toc81299624" w:history="1">
            <w:r w:rsidR="00A809E4" w:rsidRPr="000B3F3A">
              <w:rPr>
                <w:rStyle w:val="Hyperlink"/>
                <w:noProof/>
              </w:rPr>
              <w:t>2.4. Papildu nepieciešamais valsts finansējums pamata un vidējās izglītības pedagogu darba samaksas pilnveidei</w:t>
            </w:r>
            <w:r w:rsidR="00A809E4">
              <w:rPr>
                <w:noProof/>
                <w:webHidden/>
              </w:rPr>
              <w:tab/>
            </w:r>
            <w:r w:rsidR="00A809E4">
              <w:rPr>
                <w:noProof/>
                <w:webHidden/>
              </w:rPr>
              <w:fldChar w:fldCharType="begin"/>
            </w:r>
            <w:r w:rsidR="00A809E4">
              <w:rPr>
                <w:noProof/>
                <w:webHidden/>
              </w:rPr>
              <w:instrText xml:space="preserve"> PAGEREF _Toc81299624 \h </w:instrText>
            </w:r>
            <w:r w:rsidR="00A809E4">
              <w:rPr>
                <w:noProof/>
                <w:webHidden/>
              </w:rPr>
            </w:r>
            <w:r w:rsidR="00A809E4">
              <w:rPr>
                <w:noProof/>
                <w:webHidden/>
              </w:rPr>
              <w:fldChar w:fldCharType="separate"/>
            </w:r>
            <w:r w:rsidR="00A809E4">
              <w:rPr>
                <w:noProof/>
                <w:webHidden/>
              </w:rPr>
              <w:t>18</w:t>
            </w:r>
            <w:r w:rsidR="00A809E4">
              <w:rPr>
                <w:noProof/>
                <w:webHidden/>
              </w:rPr>
              <w:fldChar w:fldCharType="end"/>
            </w:r>
          </w:hyperlink>
        </w:p>
        <w:p w:rsidR="00A809E4" w:rsidRDefault="00A21E09">
          <w:pPr>
            <w:pStyle w:val="TOC1"/>
            <w:rPr>
              <w:rFonts w:asciiTheme="minorHAnsi" w:eastAsiaTheme="minorEastAsia" w:hAnsiTheme="minorHAnsi"/>
              <w:noProof/>
              <w:sz w:val="22"/>
              <w:lang w:eastAsia="lv-LV"/>
            </w:rPr>
          </w:pPr>
          <w:hyperlink w:anchor="_Toc81299625" w:history="1">
            <w:r w:rsidR="00A809E4" w:rsidRPr="000B3F3A">
              <w:rPr>
                <w:rStyle w:val="Hyperlink"/>
                <w:noProof/>
              </w:rPr>
              <w:t>3. Priekšlikumi pašvaldību vispārizglītojošo skolu tīkla sakārtošanai</w:t>
            </w:r>
            <w:r w:rsidR="00A809E4">
              <w:rPr>
                <w:noProof/>
                <w:webHidden/>
              </w:rPr>
              <w:tab/>
            </w:r>
            <w:r w:rsidR="00A809E4">
              <w:rPr>
                <w:noProof/>
                <w:webHidden/>
              </w:rPr>
              <w:fldChar w:fldCharType="begin"/>
            </w:r>
            <w:r w:rsidR="00A809E4">
              <w:rPr>
                <w:noProof/>
                <w:webHidden/>
              </w:rPr>
              <w:instrText xml:space="preserve"> PAGEREF _Toc81299625 \h </w:instrText>
            </w:r>
            <w:r w:rsidR="00A809E4">
              <w:rPr>
                <w:noProof/>
                <w:webHidden/>
              </w:rPr>
            </w:r>
            <w:r w:rsidR="00A809E4">
              <w:rPr>
                <w:noProof/>
                <w:webHidden/>
              </w:rPr>
              <w:fldChar w:fldCharType="separate"/>
            </w:r>
            <w:r w:rsidR="00A809E4">
              <w:rPr>
                <w:noProof/>
                <w:webHidden/>
              </w:rPr>
              <w:t>19</w:t>
            </w:r>
            <w:r w:rsidR="00A809E4">
              <w:rPr>
                <w:noProof/>
                <w:webHidden/>
              </w:rPr>
              <w:fldChar w:fldCharType="end"/>
            </w:r>
          </w:hyperlink>
        </w:p>
        <w:p w:rsidR="00A809E4" w:rsidRDefault="00A21E09">
          <w:pPr>
            <w:pStyle w:val="TOC1"/>
            <w:rPr>
              <w:rFonts w:asciiTheme="minorHAnsi" w:eastAsiaTheme="minorEastAsia" w:hAnsiTheme="minorHAnsi"/>
              <w:noProof/>
              <w:sz w:val="22"/>
              <w:lang w:eastAsia="lv-LV"/>
            </w:rPr>
          </w:pPr>
          <w:hyperlink w:anchor="_Toc81299626" w:history="1">
            <w:r w:rsidR="00A809E4" w:rsidRPr="000B3F3A">
              <w:rPr>
                <w:rStyle w:val="Hyperlink"/>
                <w:noProof/>
              </w:rPr>
              <w:t>Turpmākā rīcība</w:t>
            </w:r>
            <w:r w:rsidR="00A809E4">
              <w:rPr>
                <w:noProof/>
                <w:webHidden/>
              </w:rPr>
              <w:tab/>
            </w:r>
            <w:r w:rsidR="00A809E4">
              <w:rPr>
                <w:noProof/>
                <w:webHidden/>
              </w:rPr>
              <w:fldChar w:fldCharType="begin"/>
            </w:r>
            <w:r w:rsidR="00A809E4">
              <w:rPr>
                <w:noProof/>
                <w:webHidden/>
              </w:rPr>
              <w:instrText xml:space="preserve"> PAGEREF _Toc81299626 \h </w:instrText>
            </w:r>
            <w:r w:rsidR="00A809E4">
              <w:rPr>
                <w:noProof/>
                <w:webHidden/>
              </w:rPr>
            </w:r>
            <w:r w:rsidR="00A809E4">
              <w:rPr>
                <w:noProof/>
                <w:webHidden/>
              </w:rPr>
              <w:fldChar w:fldCharType="separate"/>
            </w:r>
            <w:r w:rsidR="00A809E4">
              <w:rPr>
                <w:noProof/>
                <w:webHidden/>
              </w:rPr>
              <w:t>22</w:t>
            </w:r>
            <w:r w:rsidR="00A809E4">
              <w:rPr>
                <w:noProof/>
                <w:webHidden/>
              </w:rPr>
              <w:fldChar w:fldCharType="end"/>
            </w:r>
          </w:hyperlink>
        </w:p>
        <w:p w:rsidR="0011773D" w:rsidRDefault="00F601DF" w:rsidP="0011773D">
          <w:r>
            <w:rPr>
              <w:b/>
              <w:bCs/>
              <w:noProof/>
            </w:rPr>
            <w:fldChar w:fldCharType="end"/>
          </w:r>
        </w:p>
      </w:sdtContent>
    </w:sdt>
    <w:p w:rsidR="00F04BA4" w:rsidRDefault="00F04BA4" w:rsidP="00881C98">
      <w:pPr>
        <w:pStyle w:val="Heading1"/>
        <w:ind w:left="720" w:firstLine="0"/>
        <w:rPr>
          <w:b w:val="0"/>
        </w:rPr>
      </w:pPr>
      <w:bookmarkStart w:id="0" w:name="_Toc81299614"/>
      <w:r>
        <w:t>Ievads</w:t>
      </w:r>
      <w:bookmarkEnd w:id="0"/>
    </w:p>
    <w:p w:rsidR="00BA108D" w:rsidRDefault="00F04BA4" w:rsidP="00881C98">
      <w:pPr>
        <w:rPr>
          <w:szCs w:val="24"/>
        </w:rPr>
      </w:pPr>
      <w:r w:rsidRPr="00F04BA4">
        <w:t xml:space="preserve">Ministru kabineta 2020. gada 20. oktobra sēdes protokollēmumā (prot. Nr.62 32.§ 2. punkts) </w:t>
      </w:r>
      <w:r>
        <w:t>Izglītības un zinātnes ministrijai (turpmāk – ministrija) dots uzdevums</w:t>
      </w:r>
      <w:r w:rsidRPr="00F04BA4">
        <w:t xml:space="preserve"> kontekstā ar informatīvā ziņojuma </w:t>
      </w:r>
      <w:r w:rsidR="00A6685E">
        <w:t>"</w:t>
      </w:r>
      <w:r w:rsidRPr="00F04BA4">
        <w:t>Par kvalitatīvas vispārējās vidējās izglītības no</w:t>
      </w:r>
      <w:r w:rsidR="00A6685E">
        <w:t>drošināšanas priekšnosacījumiem"</w:t>
      </w:r>
      <w:r w:rsidR="00A6685E">
        <w:rPr>
          <w:rStyle w:val="FootnoteReference"/>
          <w:szCs w:val="24"/>
        </w:rPr>
        <w:footnoteReference w:id="1"/>
      </w:r>
      <w:r w:rsidRPr="00F04BA4">
        <w:t xml:space="preserve"> 7. sadaļas 6. punktu izveidot starpinstitucionālu darba grupu. Ar ministrijas 2020. gada 19. oktobra rīkojumu Nr. 1-2e/20/32</w:t>
      </w:r>
      <w:r w:rsidR="00A6685E">
        <w:t>6 "</w:t>
      </w:r>
      <w:r w:rsidRPr="00F04BA4">
        <w:t>Par pedagogu darba samaksas pilnveides darba grupas izveidi</w:t>
      </w:r>
      <w:r w:rsidR="00A6685E">
        <w:t>"</w:t>
      </w:r>
      <w:r w:rsidRPr="00F04BA4">
        <w:t xml:space="preserve"> </w:t>
      </w:r>
      <w:r w:rsidR="003F7FA1">
        <w:t xml:space="preserve">tika </w:t>
      </w:r>
      <w:r w:rsidRPr="00F04BA4">
        <w:t>izveidota darba grupa</w:t>
      </w:r>
      <w:r w:rsidR="003F7FA1">
        <w:t xml:space="preserve"> (turpmāk – darba grupa)</w:t>
      </w:r>
      <w:r w:rsidR="00A6685E">
        <w:rPr>
          <w:rStyle w:val="FootnoteReference"/>
          <w:szCs w:val="24"/>
        </w:rPr>
        <w:footnoteReference w:id="2"/>
      </w:r>
      <w:r w:rsidRPr="00F04BA4">
        <w:t>,</w:t>
      </w:r>
      <w:r>
        <w:t xml:space="preserve"> kurā iekļauti pārstāvji no </w:t>
      </w:r>
      <w:r>
        <w:lastRenderedPageBreak/>
        <w:t xml:space="preserve">Latvijas izglītības un zinātnes darbinieku arodbiedrības (turpmāk – LIZDA), Latvijas Pašvaldību savienības (turpmāk – LPS), </w:t>
      </w:r>
      <w:r w:rsidR="002810F1" w:rsidRPr="002810F1">
        <w:t xml:space="preserve">Latvijas izglītības vadītāju asociācija </w:t>
      </w:r>
      <w:r w:rsidR="002810F1">
        <w:t xml:space="preserve">(turpmāk </w:t>
      </w:r>
      <w:r w:rsidR="00635114">
        <w:t>–</w:t>
      </w:r>
      <w:r w:rsidR="002810F1">
        <w:t xml:space="preserve">  LIVA), </w:t>
      </w:r>
      <w:r>
        <w:t xml:space="preserve">pašvaldību </w:t>
      </w:r>
      <w:r w:rsidR="00A6685E">
        <w:t>i</w:t>
      </w:r>
      <w:r>
        <w:t xml:space="preserve">zglītības pārvaldēm, </w:t>
      </w:r>
      <w:r w:rsidR="002810F1">
        <w:t xml:space="preserve">kā arī vairāki pašvaldību skolu direktori. </w:t>
      </w:r>
      <w:r w:rsidR="00A6685E">
        <w:t xml:space="preserve">Ekspertu statusā darba grupā strādāja arī Latvijas Bankas pārstāvis. Darba </w:t>
      </w:r>
      <w:r w:rsidR="00BA108D">
        <w:t>grupas uzdevums</w:t>
      </w:r>
      <w:r w:rsidR="002810F1">
        <w:t xml:space="preserve"> </w:t>
      </w:r>
      <w:r w:rsidR="003F7FA1">
        <w:t>bija</w:t>
      </w:r>
      <w:r w:rsidRPr="00F04BA4">
        <w:t xml:space="preserve"> </w:t>
      </w:r>
      <w:r w:rsidR="002810F1" w:rsidRPr="002810F1">
        <w:t>izstrādā</w:t>
      </w:r>
      <w:r w:rsidR="002810F1">
        <w:t>t</w:t>
      </w:r>
      <w:r w:rsidR="002810F1" w:rsidRPr="002810F1">
        <w:t xml:space="preserve"> priekšlikumus jaunam pedagogu darba samaksas modelim un tā finansēšanas kārtībai</w:t>
      </w:r>
      <w:r w:rsidR="00BA108D">
        <w:t xml:space="preserve"> vispārējās izglītības iestādēm, kā arī skolu tīkla vadlīniju izstrāde</w:t>
      </w:r>
      <w:r w:rsidR="006E1026">
        <w:t xml:space="preserve">. </w:t>
      </w:r>
    </w:p>
    <w:p w:rsidR="00CF79A1" w:rsidRPr="00CF79A1" w:rsidRDefault="00C15426" w:rsidP="00AA5279">
      <w:pPr>
        <w:spacing w:after="0"/>
      </w:pPr>
      <w:r>
        <w:t>Informatīvaj</w:t>
      </w:r>
      <w:r w:rsidR="00D45D2A">
        <w:t xml:space="preserve">ā </w:t>
      </w:r>
      <w:r>
        <w:t>ziņojum</w:t>
      </w:r>
      <w:r w:rsidR="00D45D2A">
        <w:t xml:space="preserve">ā </w:t>
      </w:r>
      <w:r>
        <w:t xml:space="preserve">"Par priekšlikumiem pedagogu darba samaksas finansēšanas modeļa pilnveidei" ietverti priekšlikumi valsts finansējuma aprēķina maiņai </w:t>
      </w:r>
      <w:r w:rsidRPr="00C15426">
        <w:t xml:space="preserve">vispārējās izglītības iestāžu </w:t>
      </w:r>
      <w:r>
        <w:t>(</w:t>
      </w:r>
      <w:r w:rsidRPr="00C15426">
        <w:t>izņemo</w:t>
      </w:r>
      <w:r>
        <w:t xml:space="preserve">t speciālās izglītības iestādes), </w:t>
      </w:r>
      <w:r w:rsidRPr="00C15426">
        <w:t>pedagogu darba samaksai</w:t>
      </w:r>
      <w:r>
        <w:t xml:space="preserve">, kas izstrādāti darba grupā, kā arī </w:t>
      </w:r>
      <w:r w:rsidR="00100071">
        <w:t>divi</w:t>
      </w:r>
      <w:r w:rsidR="00D45D2A">
        <w:t xml:space="preserve"> valsts finansējuma aprēķina varianti, kas izstrādāti ministrijā, konsultējoties ar nozares ekspertiem.</w:t>
      </w:r>
      <w:r w:rsidRPr="00C15426">
        <w:tab/>
      </w:r>
    </w:p>
    <w:p w:rsidR="00140376" w:rsidRDefault="00C30E54" w:rsidP="00F45541">
      <w:pPr>
        <w:pStyle w:val="Heading1"/>
      </w:pPr>
      <w:bookmarkStart w:id="1" w:name="_Toc81299615"/>
      <w:r>
        <w:t>1</w:t>
      </w:r>
      <w:r w:rsidR="00935FDA" w:rsidRPr="00D80215">
        <w:t>. </w:t>
      </w:r>
      <w:r w:rsidR="00140376">
        <w:t>Pašvaldību vispārizglītojošo skolu (izņemot speciālās skolas) pedagogu atalgojums un skolu tīkls – esošās situācijas apraksts</w:t>
      </w:r>
      <w:bookmarkEnd w:id="1"/>
    </w:p>
    <w:p w:rsidR="005C00B3" w:rsidRPr="004B1BFC" w:rsidRDefault="00C30E54" w:rsidP="00935FDA">
      <w:pPr>
        <w:pStyle w:val="Heading2"/>
        <w:rPr>
          <w:sz w:val="28"/>
          <w:szCs w:val="28"/>
        </w:rPr>
      </w:pPr>
      <w:bookmarkStart w:id="2" w:name="_Toc81299616"/>
      <w:r>
        <w:rPr>
          <w:sz w:val="28"/>
          <w:szCs w:val="28"/>
        </w:rPr>
        <w:t>1</w:t>
      </w:r>
      <w:r w:rsidR="00935FDA" w:rsidRPr="004B1BFC">
        <w:rPr>
          <w:sz w:val="28"/>
          <w:szCs w:val="28"/>
        </w:rPr>
        <w:t>.1. </w:t>
      </w:r>
      <w:r w:rsidR="00893546">
        <w:rPr>
          <w:sz w:val="28"/>
          <w:szCs w:val="28"/>
        </w:rPr>
        <w:t>Spēkā esošais finansējuma aprēķins, reālā pedagogu noslodze un atalgojums</w:t>
      </w:r>
      <w:bookmarkEnd w:id="2"/>
      <w:r w:rsidR="00893546">
        <w:rPr>
          <w:sz w:val="28"/>
          <w:szCs w:val="28"/>
        </w:rPr>
        <w:t xml:space="preserve"> </w:t>
      </w:r>
    </w:p>
    <w:p w:rsidR="0051399E" w:rsidRDefault="005C00B3" w:rsidP="00AA5279">
      <w:pPr>
        <w:spacing w:after="0"/>
        <w:rPr>
          <w:szCs w:val="24"/>
        </w:rPr>
      </w:pPr>
      <w:r w:rsidRPr="005C00B3">
        <w:rPr>
          <w:szCs w:val="24"/>
        </w:rPr>
        <w:t xml:space="preserve">Spēkā </w:t>
      </w:r>
      <w:r>
        <w:rPr>
          <w:szCs w:val="24"/>
        </w:rPr>
        <w:t>esoš</w:t>
      </w:r>
      <w:r w:rsidR="00FD445F">
        <w:rPr>
          <w:szCs w:val="24"/>
        </w:rPr>
        <w:t>a</w:t>
      </w:r>
      <w:r>
        <w:rPr>
          <w:szCs w:val="24"/>
        </w:rPr>
        <w:t>is normatīvais regulējums</w:t>
      </w:r>
      <w:r>
        <w:rPr>
          <w:rStyle w:val="FootnoteReference"/>
          <w:szCs w:val="24"/>
        </w:rPr>
        <w:footnoteReference w:id="3"/>
      </w:r>
      <w:r>
        <w:rPr>
          <w:szCs w:val="24"/>
        </w:rPr>
        <w:t xml:space="preserve"> nosaka, ka mē</w:t>
      </w:r>
      <w:r w:rsidR="00FD445F">
        <w:rPr>
          <w:szCs w:val="24"/>
        </w:rPr>
        <w:t>r</w:t>
      </w:r>
      <w:r>
        <w:rPr>
          <w:szCs w:val="24"/>
        </w:rPr>
        <w:t xml:space="preserve">ķdotācija </w:t>
      </w:r>
      <w:r w:rsidRPr="00AA5279">
        <w:rPr>
          <w:b/>
          <w:szCs w:val="24"/>
        </w:rPr>
        <w:t>izglītības iestādei</w:t>
      </w:r>
      <w:r>
        <w:rPr>
          <w:szCs w:val="24"/>
        </w:rPr>
        <w:t xml:space="preserve"> tiek aprēķināta atbilstoši kārtējā gada 1.</w:t>
      </w:r>
      <w:r w:rsidR="0051399E">
        <w:rPr>
          <w:szCs w:val="24"/>
        </w:rPr>
        <w:t xml:space="preserve"> </w:t>
      </w:r>
      <w:r>
        <w:rPr>
          <w:szCs w:val="24"/>
        </w:rPr>
        <w:t xml:space="preserve">septembrī </w:t>
      </w:r>
      <w:r w:rsidR="00C02F74">
        <w:rPr>
          <w:szCs w:val="24"/>
        </w:rPr>
        <w:t>VIIS</w:t>
      </w:r>
      <w:r>
        <w:rPr>
          <w:szCs w:val="24"/>
        </w:rPr>
        <w:t xml:space="preserve"> reģistrētajam izglītojamo skaitam, tam piemērojot </w:t>
      </w:r>
      <w:r w:rsidR="0070675E">
        <w:rPr>
          <w:szCs w:val="24"/>
        </w:rPr>
        <w:t xml:space="preserve">koeficientus </w:t>
      </w:r>
      <w:r>
        <w:rPr>
          <w:szCs w:val="24"/>
        </w:rPr>
        <w:t>izglītības pak</w:t>
      </w:r>
      <w:r w:rsidR="00860F9A">
        <w:rPr>
          <w:szCs w:val="24"/>
        </w:rPr>
        <w:t>āpei</w:t>
      </w:r>
      <w:r>
        <w:rPr>
          <w:szCs w:val="24"/>
        </w:rPr>
        <w:t xml:space="preserve"> (sākumskola, pamatskola</w:t>
      </w:r>
      <w:r w:rsidR="00860F9A">
        <w:rPr>
          <w:szCs w:val="24"/>
        </w:rPr>
        <w:t xml:space="preserve">, vidusskola), izglītības programmai, apguves veidam (klātiene, neklātiene, tālmācība), kā </w:t>
      </w:r>
      <w:r w:rsidR="00AA4389">
        <w:rPr>
          <w:szCs w:val="24"/>
        </w:rPr>
        <w:t xml:space="preserve">arī </w:t>
      </w:r>
      <w:r w:rsidR="00860F9A">
        <w:rPr>
          <w:szCs w:val="24"/>
        </w:rPr>
        <w:t>citus papildko</w:t>
      </w:r>
      <w:r w:rsidR="00AA5279">
        <w:rPr>
          <w:szCs w:val="24"/>
        </w:rPr>
        <w:t>eficientus:</w:t>
      </w:r>
      <w:r w:rsidR="00C02F74">
        <w:rPr>
          <w:szCs w:val="24"/>
        </w:rPr>
        <w:t xml:space="preserve"> </w:t>
      </w:r>
    </w:p>
    <w:p w:rsidR="006E1026" w:rsidRPr="00ED4BC6" w:rsidRDefault="006E1026" w:rsidP="00A0536E">
      <w:pPr>
        <w:numPr>
          <w:ilvl w:val="0"/>
          <w:numId w:val="3"/>
        </w:numPr>
        <w:spacing w:after="0"/>
        <w:contextualSpacing/>
      </w:pPr>
      <w:r w:rsidRPr="00ED4BC6">
        <w:t>vidējais mācību stundu skaits 1.-6.klasē tiek apzīmēts ar koeficientu 1;</w:t>
      </w:r>
    </w:p>
    <w:p w:rsidR="006E1026" w:rsidRPr="00ED4BC6" w:rsidRDefault="006E1026" w:rsidP="00A0536E">
      <w:pPr>
        <w:numPr>
          <w:ilvl w:val="0"/>
          <w:numId w:val="3"/>
        </w:numPr>
        <w:spacing w:after="0"/>
        <w:contextualSpacing/>
      </w:pPr>
      <w:r w:rsidRPr="00ED4BC6">
        <w:t>vidējais mācību stundu skaits 7.- 9. klasē un 10.-12.klasē tiek attiecināts pret vidējo mācību stundu skaitu 1.-6.klasē, tādā veidā iegūstot izglītības pakāpes koeficientus;</w:t>
      </w:r>
    </w:p>
    <w:p w:rsidR="006E1026" w:rsidRPr="00ED4BC6" w:rsidRDefault="006E1026" w:rsidP="00A0536E">
      <w:pPr>
        <w:numPr>
          <w:ilvl w:val="0"/>
          <w:numId w:val="3"/>
        </w:numPr>
        <w:spacing w:after="0"/>
        <w:contextualSpacing/>
      </w:pPr>
      <w:r w:rsidRPr="00ED4BC6">
        <w:t>līdzīgā veidā iegūst koeficientus, ar kuriem raksturo izglītības programmas apguves formas (vakara, neklātienes, tālmācības);</w:t>
      </w:r>
    </w:p>
    <w:p w:rsidR="006E1026" w:rsidRPr="00ED4BC6" w:rsidRDefault="006E1026" w:rsidP="00A0536E">
      <w:pPr>
        <w:numPr>
          <w:ilvl w:val="0"/>
          <w:numId w:val="3"/>
        </w:numPr>
        <w:spacing w:after="0"/>
        <w:contextualSpacing/>
      </w:pPr>
      <w:r w:rsidRPr="00ED4BC6">
        <w:t>izglītojamo skaitam izglītības pakāpē un programmas veidā piemērojot atbilstošos koeficientus, iegūst normēto izglītojamo skaitu;</w:t>
      </w:r>
    </w:p>
    <w:p w:rsidR="006E1026" w:rsidRPr="00ED4BC6" w:rsidRDefault="006E1026" w:rsidP="00A0536E">
      <w:pPr>
        <w:numPr>
          <w:ilvl w:val="0"/>
          <w:numId w:val="3"/>
        </w:numPr>
        <w:spacing w:after="0"/>
        <w:contextualSpacing/>
      </w:pPr>
      <w:r w:rsidRPr="00ED4BC6">
        <w:t>normēto izglītojamo skaitu dalot ar attiecīgo reģionālo normētā izglītojamo skaita attiecību pret skolotāju likmēm (normatīvais regulējums nosaka septiņas reģioniem piesaistītas normētā izglītojamo skaita attiecības pret skolotāju likmēm) iegūst konkrētai skolai valsts apmaksāto skolotāju likmju skaitu;</w:t>
      </w:r>
    </w:p>
    <w:p w:rsidR="006E1026" w:rsidRPr="00ED4BC6" w:rsidRDefault="006E1026" w:rsidP="00A0536E">
      <w:pPr>
        <w:numPr>
          <w:ilvl w:val="0"/>
          <w:numId w:val="3"/>
        </w:numPr>
        <w:spacing w:after="0"/>
        <w:contextualSpacing/>
      </w:pPr>
      <w:r w:rsidRPr="00ED4BC6">
        <w:t>aprēķināto skolotāju likmju skaitu reizinot ar normatīvos noteikto zemāko pedagoga algas likmi iegūst mērķdotācijas apjomu konkrētās skolas mācību plāna īstenošanai;</w:t>
      </w:r>
    </w:p>
    <w:p w:rsidR="00AA5279" w:rsidRPr="00AA5279" w:rsidRDefault="006E1026" w:rsidP="00A0536E">
      <w:pPr>
        <w:numPr>
          <w:ilvl w:val="0"/>
          <w:numId w:val="3"/>
        </w:numPr>
        <w:spacing w:after="0"/>
        <w:contextualSpacing/>
      </w:pPr>
      <w:r w:rsidRPr="00ED4BC6">
        <w:t>katrai skolai papildus tiek aprēķināta mērķdotācija pedagogu papildpienākumu apmaksai, skolas administrācijas un atbalsta personāla darba apmaksai.</w:t>
      </w:r>
    </w:p>
    <w:p w:rsidR="00476436" w:rsidRPr="00AA5279" w:rsidRDefault="00AA5279" w:rsidP="00391CC6">
      <w:pPr>
        <w:spacing w:after="0"/>
        <w:rPr>
          <w:szCs w:val="24"/>
        </w:rPr>
      </w:pPr>
      <w:r>
        <w:rPr>
          <w:szCs w:val="24"/>
        </w:rPr>
        <w:t>Aprēķinos piemērojot</w:t>
      </w:r>
      <w:r w:rsidR="00860F9A">
        <w:rPr>
          <w:szCs w:val="24"/>
        </w:rPr>
        <w:t xml:space="preserve"> septiņas dažādas reģionālās n</w:t>
      </w:r>
      <w:r w:rsidR="00860F9A" w:rsidRPr="00860F9A">
        <w:rPr>
          <w:szCs w:val="24"/>
        </w:rPr>
        <w:t xml:space="preserve">ormētā </w:t>
      </w:r>
      <w:r w:rsidR="00D53F0A">
        <w:rPr>
          <w:szCs w:val="24"/>
        </w:rPr>
        <w:t xml:space="preserve">izglītojamo </w:t>
      </w:r>
      <w:r w:rsidR="00860F9A" w:rsidRPr="00860F9A">
        <w:rPr>
          <w:szCs w:val="24"/>
        </w:rPr>
        <w:t>(bērnu) skaita attiecība</w:t>
      </w:r>
      <w:r w:rsidR="00D92A14">
        <w:rPr>
          <w:szCs w:val="24"/>
        </w:rPr>
        <w:t>s</w:t>
      </w:r>
      <w:r w:rsidR="00860F9A" w:rsidRPr="00860F9A">
        <w:rPr>
          <w:szCs w:val="24"/>
        </w:rPr>
        <w:t xml:space="preserve"> pret vi</w:t>
      </w:r>
      <w:r w:rsidR="00860F9A">
        <w:rPr>
          <w:szCs w:val="24"/>
        </w:rPr>
        <w:t xml:space="preserve">enu pedagoga mēneša darba likmi, kas ir robežās no 16,5 Rīgai līdz 10 </w:t>
      </w:r>
      <w:r w:rsidR="00860F9A" w:rsidRPr="00860F9A">
        <w:rPr>
          <w:szCs w:val="24"/>
        </w:rPr>
        <w:t xml:space="preserve">novados, </w:t>
      </w:r>
      <w:r w:rsidR="00860F9A" w:rsidRPr="00860F9A">
        <w:rPr>
          <w:szCs w:val="24"/>
        </w:rPr>
        <w:lastRenderedPageBreak/>
        <w:t xml:space="preserve">kuru administratīvajā teritorijā </w:t>
      </w:r>
      <w:r w:rsidR="00D53F0A">
        <w:rPr>
          <w:szCs w:val="24"/>
        </w:rPr>
        <w:t>izglītojamo</w:t>
      </w:r>
      <w:r w:rsidR="00D53F0A" w:rsidRPr="00860F9A">
        <w:rPr>
          <w:szCs w:val="24"/>
        </w:rPr>
        <w:t xml:space="preserve"> </w:t>
      </w:r>
      <w:r w:rsidR="00860F9A" w:rsidRPr="00860F9A">
        <w:rPr>
          <w:szCs w:val="24"/>
        </w:rPr>
        <w:t xml:space="preserve">skaits (klātienes izglītības ieguves formā īstenotajās vispārējās izglītības programmās, izņemot izglītojamos sociālās aprūpes centros) ir 0,5 </w:t>
      </w:r>
      <w:r w:rsidR="00D53F0A">
        <w:rPr>
          <w:szCs w:val="24"/>
        </w:rPr>
        <w:t>izglītojamie</w:t>
      </w:r>
      <w:r w:rsidR="00860F9A" w:rsidRPr="00860F9A">
        <w:rPr>
          <w:szCs w:val="24"/>
        </w:rPr>
        <w:t xml:space="preserve"> uz v</w:t>
      </w:r>
      <w:r>
        <w:rPr>
          <w:szCs w:val="24"/>
        </w:rPr>
        <w:t xml:space="preserve">ienu kvadrātkilometru un mazāk, </w:t>
      </w:r>
      <w:r w:rsidR="00860F9A">
        <w:rPr>
          <w:szCs w:val="24"/>
        </w:rPr>
        <w:t>skolas ar vienādu izgl</w:t>
      </w:r>
      <w:r w:rsidR="00C02F74">
        <w:rPr>
          <w:szCs w:val="24"/>
        </w:rPr>
        <w:t>ītojamo skaitu, kas</w:t>
      </w:r>
      <w:r w:rsidR="00476436">
        <w:rPr>
          <w:szCs w:val="24"/>
        </w:rPr>
        <w:t xml:space="preserve"> atrodas atšķirīgos reģionālajos iedalījumos, saņem atšķirīgu mērķ</w:t>
      </w:r>
      <w:r w:rsidR="00FD445F">
        <w:rPr>
          <w:szCs w:val="24"/>
        </w:rPr>
        <w:t>d</w:t>
      </w:r>
      <w:r w:rsidR="00476436">
        <w:rPr>
          <w:szCs w:val="24"/>
        </w:rPr>
        <w:t>otācijas apjomu un  līdz ar to atšķiras pedagogu darba samaksa šajās skolās</w:t>
      </w:r>
      <w:r w:rsidR="00476436" w:rsidRPr="00B434A4">
        <w:rPr>
          <w:rFonts w:cs="Times New Roman"/>
          <w:szCs w:val="24"/>
        </w:rPr>
        <w:t xml:space="preserve">. </w:t>
      </w:r>
      <w:r w:rsidR="00B434A4" w:rsidRPr="00B434A4">
        <w:rPr>
          <w:rFonts w:cs="Times New Roman"/>
          <w:szCs w:val="24"/>
        </w:rPr>
        <w:t xml:space="preserve">Mērķdotācijas </w:t>
      </w:r>
      <w:r w:rsidR="00B434A4">
        <w:rPr>
          <w:rFonts w:cs="Times New Roman"/>
          <w:szCs w:val="24"/>
        </w:rPr>
        <w:t xml:space="preserve">aprēķins, izmantojot normēto izglītojamo skaitu, nodrošina </w:t>
      </w:r>
      <w:r w:rsidR="00EA05C8">
        <w:rPr>
          <w:rFonts w:cs="Times New Roman"/>
          <w:szCs w:val="24"/>
        </w:rPr>
        <w:t xml:space="preserve">iespējas </w:t>
      </w:r>
      <w:r w:rsidR="00B434A4">
        <w:rPr>
          <w:rFonts w:cs="Times New Roman"/>
          <w:szCs w:val="24"/>
        </w:rPr>
        <w:t>skolām ar lielāku izglītojamo skaitu noteikt augstākas algas likmes, kā arī lielāku darba slodzi.</w:t>
      </w:r>
    </w:p>
    <w:p w:rsidR="005C00B3" w:rsidRPr="00C3454A" w:rsidRDefault="00B434A4" w:rsidP="00391CC6">
      <w:pPr>
        <w:spacing w:after="0"/>
        <w:rPr>
          <w:rFonts w:cs="Times New Roman"/>
          <w:szCs w:val="24"/>
        </w:rPr>
      </w:pPr>
      <w:r>
        <w:rPr>
          <w:szCs w:val="24"/>
        </w:rPr>
        <w:t>L</w:t>
      </w:r>
      <w:r w:rsidR="00C3454A">
        <w:rPr>
          <w:szCs w:val="24"/>
        </w:rPr>
        <w:t>ai</w:t>
      </w:r>
      <w:r>
        <w:rPr>
          <w:szCs w:val="24"/>
        </w:rPr>
        <w:t xml:space="preserve"> analizētu pedagogu darba samaksas jautājumus, tika apkopoti </w:t>
      </w:r>
      <w:r w:rsidR="00FF6961">
        <w:rPr>
          <w:szCs w:val="24"/>
        </w:rPr>
        <w:t>p</w:t>
      </w:r>
      <w:r w:rsidR="00476436" w:rsidRPr="00476436">
        <w:rPr>
          <w:szCs w:val="24"/>
        </w:rPr>
        <w:t>ašvaldību vispārizglītojošo skolu (bez speciālajām skolām) 18</w:t>
      </w:r>
      <w:r w:rsidR="0051399E">
        <w:rPr>
          <w:szCs w:val="24"/>
        </w:rPr>
        <w:t> </w:t>
      </w:r>
      <w:r w:rsidR="00476436" w:rsidRPr="00476436">
        <w:rPr>
          <w:szCs w:val="24"/>
        </w:rPr>
        <w:t>122 skolotāju (4 amati – sākumskolas, pamatskolas, vidējās izglītības un speciālās izglītības skolotājs) 2020.</w:t>
      </w:r>
      <w:r w:rsidR="0051399E">
        <w:rPr>
          <w:szCs w:val="24"/>
        </w:rPr>
        <w:t xml:space="preserve"> </w:t>
      </w:r>
      <w:r w:rsidR="00476436">
        <w:rPr>
          <w:szCs w:val="24"/>
        </w:rPr>
        <w:t>gada 8.</w:t>
      </w:r>
      <w:r w:rsidR="0051399E">
        <w:rPr>
          <w:szCs w:val="24"/>
        </w:rPr>
        <w:t xml:space="preserve"> </w:t>
      </w:r>
      <w:r w:rsidR="00476436">
        <w:rPr>
          <w:szCs w:val="24"/>
        </w:rPr>
        <w:t>oktobra VIIS pedagogu</w:t>
      </w:r>
      <w:r w:rsidR="00D92A14">
        <w:rPr>
          <w:szCs w:val="24"/>
        </w:rPr>
        <w:t xml:space="preserve"> tarifikācijas dati</w:t>
      </w:r>
      <w:r w:rsidR="00FF6961">
        <w:rPr>
          <w:szCs w:val="24"/>
        </w:rPr>
        <w:t>.</w:t>
      </w:r>
      <w:r w:rsidR="00C3454A" w:rsidRPr="00C3454A">
        <w:rPr>
          <w:rFonts w:cs="Times New Roman"/>
          <w:szCs w:val="24"/>
        </w:rPr>
        <w:t xml:space="preserve"> </w:t>
      </w:r>
      <w:r w:rsidR="00C3454A" w:rsidRPr="0017528D">
        <w:rPr>
          <w:rFonts w:cs="Times New Roman"/>
          <w:szCs w:val="24"/>
        </w:rPr>
        <w:t>20</w:t>
      </w:r>
      <w:r w:rsidR="00C3454A">
        <w:rPr>
          <w:rFonts w:cs="Times New Roman"/>
          <w:szCs w:val="24"/>
        </w:rPr>
        <w:t>20./2021</w:t>
      </w:r>
      <w:r w:rsidR="00D92A14">
        <w:rPr>
          <w:rFonts w:cs="Times New Roman"/>
          <w:szCs w:val="24"/>
        </w:rPr>
        <w:t>. m</w:t>
      </w:r>
      <w:r w:rsidR="0051399E">
        <w:rPr>
          <w:rFonts w:cs="Times New Roman"/>
          <w:szCs w:val="24"/>
        </w:rPr>
        <w:t xml:space="preserve">ācību </w:t>
      </w:r>
      <w:r w:rsidR="00D92A14">
        <w:rPr>
          <w:rFonts w:cs="Times New Roman"/>
          <w:szCs w:val="24"/>
        </w:rPr>
        <w:t>g</w:t>
      </w:r>
      <w:r w:rsidR="0051399E">
        <w:rPr>
          <w:rFonts w:cs="Times New Roman"/>
          <w:szCs w:val="24"/>
        </w:rPr>
        <w:t>ada</w:t>
      </w:r>
      <w:r w:rsidR="00C3454A" w:rsidRPr="0017528D">
        <w:rPr>
          <w:rFonts w:cs="Times New Roman"/>
          <w:szCs w:val="24"/>
        </w:rPr>
        <w:t xml:space="preserve"> </w:t>
      </w:r>
      <w:r w:rsidR="00D92A14">
        <w:rPr>
          <w:rFonts w:cs="Times New Roman"/>
          <w:szCs w:val="24"/>
        </w:rPr>
        <w:t>n</w:t>
      </w:r>
      <w:r w:rsidR="00C3454A" w:rsidRPr="0017528D">
        <w:rPr>
          <w:rFonts w:cs="Times New Roman"/>
          <w:szCs w:val="24"/>
        </w:rPr>
        <w:t>ormatīvos noteiktā zemā</w:t>
      </w:r>
      <w:r w:rsidR="00C3454A">
        <w:rPr>
          <w:rFonts w:cs="Times New Roman"/>
          <w:szCs w:val="24"/>
        </w:rPr>
        <w:t xml:space="preserve">kā skolotāju algas likme </w:t>
      </w:r>
      <w:r w:rsidR="00100071">
        <w:rPr>
          <w:rFonts w:cs="Times New Roman"/>
          <w:szCs w:val="24"/>
        </w:rPr>
        <w:t>bija</w:t>
      </w:r>
      <w:r w:rsidR="00C3454A">
        <w:rPr>
          <w:rFonts w:cs="Times New Roman"/>
          <w:szCs w:val="24"/>
        </w:rPr>
        <w:t xml:space="preserve"> 79</w:t>
      </w:r>
      <w:r w:rsidR="00C3454A" w:rsidRPr="0017528D">
        <w:rPr>
          <w:rFonts w:cs="Times New Roman"/>
          <w:szCs w:val="24"/>
        </w:rPr>
        <w:t xml:space="preserve">0 </w:t>
      </w:r>
      <w:r w:rsidR="00C3454A" w:rsidRPr="00EA05C8">
        <w:rPr>
          <w:rFonts w:cs="Times New Roman"/>
          <w:i/>
          <w:szCs w:val="24"/>
        </w:rPr>
        <w:t>euro</w:t>
      </w:r>
      <w:r w:rsidR="00C3454A" w:rsidRPr="0017528D">
        <w:rPr>
          <w:rFonts w:cs="Times New Roman"/>
          <w:szCs w:val="24"/>
        </w:rPr>
        <w:t xml:space="preserve">, bet </w:t>
      </w:r>
      <w:r w:rsidR="00C02F74">
        <w:rPr>
          <w:rFonts w:cs="Times New Roman"/>
          <w:szCs w:val="24"/>
        </w:rPr>
        <w:t xml:space="preserve">izglītības iestādei </w:t>
      </w:r>
      <w:r w:rsidR="00C3454A" w:rsidRPr="0017528D">
        <w:rPr>
          <w:rFonts w:cs="Times New Roman"/>
          <w:szCs w:val="24"/>
        </w:rPr>
        <w:t xml:space="preserve">apstiprinātā finansējuma ietvaros skolas direktoram </w:t>
      </w:r>
      <w:r w:rsidR="00100071">
        <w:rPr>
          <w:rFonts w:cs="Times New Roman"/>
          <w:szCs w:val="24"/>
        </w:rPr>
        <w:t>bija</w:t>
      </w:r>
      <w:r w:rsidR="00C3454A" w:rsidRPr="0017528D">
        <w:rPr>
          <w:rFonts w:cs="Times New Roman"/>
          <w:szCs w:val="24"/>
        </w:rPr>
        <w:t xml:space="preserve"> tiesības noteikt līdz 50% augstāku skolotāja mēneša darba algas likmi par </w:t>
      </w:r>
      <w:r w:rsidR="00D92A14">
        <w:rPr>
          <w:rFonts w:cs="Times New Roman"/>
          <w:szCs w:val="24"/>
        </w:rPr>
        <w:t xml:space="preserve">normatīvā noteikto </w:t>
      </w:r>
      <w:r w:rsidR="00C3454A" w:rsidRPr="0017528D">
        <w:rPr>
          <w:rFonts w:cs="Times New Roman"/>
          <w:szCs w:val="24"/>
        </w:rPr>
        <w:t xml:space="preserve">zemāko algas likmi, tātad augstākā iespējamā skolotāju algas likme </w:t>
      </w:r>
      <w:r w:rsidR="00100071">
        <w:rPr>
          <w:rFonts w:cs="Times New Roman"/>
          <w:szCs w:val="24"/>
        </w:rPr>
        <w:t>bija</w:t>
      </w:r>
      <w:r w:rsidR="00C3454A" w:rsidRPr="0017528D">
        <w:rPr>
          <w:rFonts w:cs="Times New Roman"/>
          <w:szCs w:val="24"/>
        </w:rPr>
        <w:t xml:space="preserve"> 1</w:t>
      </w:r>
      <w:r w:rsidR="0051399E">
        <w:rPr>
          <w:rFonts w:cs="Times New Roman"/>
          <w:szCs w:val="24"/>
        </w:rPr>
        <w:t> </w:t>
      </w:r>
      <w:r w:rsidR="00C3454A" w:rsidRPr="0017528D">
        <w:rPr>
          <w:rFonts w:cs="Times New Roman"/>
          <w:szCs w:val="24"/>
        </w:rPr>
        <w:t>1</w:t>
      </w:r>
      <w:r w:rsidR="00C3454A">
        <w:rPr>
          <w:rFonts w:cs="Times New Roman"/>
          <w:szCs w:val="24"/>
        </w:rPr>
        <w:t>85</w:t>
      </w:r>
      <w:r w:rsidR="00C3454A" w:rsidRPr="0017528D">
        <w:rPr>
          <w:rFonts w:cs="Times New Roman"/>
          <w:szCs w:val="24"/>
        </w:rPr>
        <w:t xml:space="preserve"> </w:t>
      </w:r>
      <w:r w:rsidR="00C3454A" w:rsidRPr="00EA05C8">
        <w:rPr>
          <w:rFonts w:cs="Times New Roman"/>
          <w:i/>
          <w:szCs w:val="24"/>
        </w:rPr>
        <w:t>euro</w:t>
      </w:r>
      <w:r w:rsidR="00C3454A" w:rsidRPr="0017528D">
        <w:rPr>
          <w:rFonts w:cs="Times New Roman"/>
          <w:szCs w:val="24"/>
        </w:rPr>
        <w:t>.</w:t>
      </w:r>
    </w:p>
    <w:tbl>
      <w:tblPr>
        <w:tblStyle w:val="TableGrid"/>
        <w:tblW w:w="9008" w:type="dxa"/>
        <w:tblInd w:w="-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375"/>
        <w:gridCol w:w="10"/>
        <w:gridCol w:w="4613"/>
        <w:gridCol w:w="10"/>
      </w:tblGrid>
      <w:tr w:rsidR="00FF6961" w:rsidRPr="00B434A4" w:rsidTr="00391CC6">
        <w:trPr>
          <w:trHeight w:val="3449"/>
        </w:trPr>
        <w:tc>
          <w:tcPr>
            <w:tcW w:w="4385" w:type="dxa"/>
            <w:gridSpan w:val="2"/>
            <w:tcBorders>
              <w:top w:val="nil"/>
              <w:left w:val="nil"/>
              <w:bottom w:val="nil"/>
              <w:right w:val="nil"/>
            </w:tcBorders>
          </w:tcPr>
          <w:p w:rsidR="00B434A4" w:rsidRPr="00B434A4" w:rsidRDefault="00240297" w:rsidP="00240297">
            <w:pPr>
              <w:ind w:firstLine="0"/>
              <w:rPr>
                <w:rFonts w:cs="Times New Roman"/>
                <w:sz w:val="28"/>
                <w:szCs w:val="28"/>
              </w:rPr>
            </w:pPr>
            <w:r>
              <w:rPr>
                <w:noProof/>
                <w:lang w:val="en-US"/>
              </w:rPr>
              <w:drawing>
                <wp:inline distT="0" distB="0" distL="0" distR="0" wp14:anchorId="55068D64" wp14:editId="72E64F22">
                  <wp:extent cx="2685415" cy="2181225"/>
                  <wp:effectExtent l="0" t="0" r="0" b="0"/>
                  <wp:docPr id="1" name="Chart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623" w:type="dxa"/>
            <w:gridSpan w:val="2"/>
            <w:tcBorders>
              <w:top w:val="nil"/>
              <w:left w:val="nil"/>
              <w:bottom w:val="nil"/>
              <w:right w:val="nil"/>
            </w:tcBorders>
          </w:tcPr>
          <w:p w:rsidR="00B434A4" w:rsidRPr="00B434A4" w:rsidRDefault="0049750A" w:rsidP="0049750A">
            <w:pPr>
              <w:ind w:firstLine="0"/>
              <w:rPr>
                <w:rFonts w:cs="Times New Roman"/>
                <w:sz w:val="28"/>
                <w:szCs w:val="28"/>
              </w:rPr>
            </w:pPr>
            <w:r>
              <w:rPr>
                <w:noProof/>
                <w:lang w:val="en-US"/>
              </w:rPr>
              <w:drawing>
                <wp:inline distT="0" distB="0" distL="0" distR="0" wp14:anchorId="5575A2A8" wp14:editId="376E26C1">
                  <wp:extent cx="2798445" cy="2181225"/>
                  <wp:effectExtent l="0" t="0" r="0" b="0"/>
                  <wp:docPr id="2" name="Chart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F6961" w:rsidRPr="00B434A4" w:rsidTr="00391CC6">
        <w:trPr>
          <w:trHeight w:val="634"/>
        </w:trPr>
        <w:tc>
          <w:tcPr>
            <w:tcW w:w="4385" w:type="dxa"/>
            <w:gridSpan w:val="2"/>
            <w:tcBorders>
              <w:top w:val="nil"/>
              <w:left w:val="nil"/>
              <w:bottom w:val="nil"/>
              <w:right w:val="nil"/>
            </w:tcBorders>
          </w:tcPr>
          <w:p w:rsidR="00B434A4" w:rsidRPr="0051399E" w:rsidRDefault="00021CFD" w:rsidP="0051399E">
            <w:pPr>
              <w:ind w:firstLine="0"/>
              <w:rPr>
                <w:rFonts w:cs="Times New Roman"/>
                <w:i/>
                <w:sz w:val="22"/>
                <w:szCs w:val="28"/>
              </w:rPr>
            </w:pPr>
            <w:r>
              <w:rPr>
                <w:rFonts w:cs="Times New Roman"/>
                <w:i/>
                <w:sz w:val="22"/>
                <w:szCs w:val="28"/>
              </w:rPr>
              <w:t>1.</w:t>
            </w:r>
            <w:r w:rsidR="00B434A4" w:rsidRPr="0051399E">
              <w:rPr>
                <w:rFonts w:cs="Times New Roman"/>
                <w:i/>
                <w:sz w:val="22"/>
                <w:szCs w:val="28"/>
              </w:rPr>
              <w:t>attēls. Skolotāju sadalījums atbilstoši algas likmei. Avots: VIIS, 08.10.2020. tarifikācija</w:t>
            </w:r>
          </w:p>
        </w:tc>
        <w:tc>
          <w:tcPr>
            <w:tcW w:w="4623" w:type="dxa"/>
            <w:gridSpan w:val="2"/>
            <w:tcBorders>
              <w:top w:val="nil"/>
              <w:left w:val="nil"/>
              <w:bottom w:val="nil"/>
              <w:right w:val="nil"/>
            </w:tcBorders>
          </w:tcPr>
          <w:p w:rsidR="00B434A4" w:rsidRPr="0051399E" w:rsidRDefault="00021CFD" w:rsidP="0051399E">
            <w:pPr>
              <w:ind w:firstLine="0"/>
              <w:rPr>
                <w:rFonts w:cs="Times New Roman"/>
                <w:i/>
                <w:sz w:val="22"/>
                <w:szCs w:val="28"/>
              </w:rPr>
            </w:pPr>
            <w:r>
              <w:rPr>
                <w:rFonts w:cs="Times New Roman"/>
                <w:i/>
                <w:sz w:val="22"/>
                <w:szCs w:val="28"/>
              </w:rPr>
              <w:t>2.</w:t>
            </w:r>
            <w:r w:rsidR="00B434A4" w:rsidRPr="0051399E">
              <w:rPr>
                <w:rFonts w:cs="Times New Roman"/>
                <w:i/>
                <w:sz w:val="22"/>
                <w:szCs w:val="28"/>
              </w:rPr>
              <w:t xml:space="preserve">.attēls. Skolotājiem tarificētā darba slodze stundās nedēļā. Avots: </w:t>
            </w:r>
            <w:r w:rsidR="00FF6961" w:rsidRPr="0051399E">
              <w:rPr>
                <w:rFonts w:cs="Times New Roman"/>
                <w:i/>
                <w:sz w:val="22"/>
                <w:szCs w:val="28"/>
              </w:rPr>
              <w:t>turpat.</w:t>
            </w:r>
          </w:p>
        </w:tc>
      </w:tr>
      <w:tr w:rsidR="00FF6961" w:rsidTr="008717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4041"/>
        </w:trPr>
        <w:tc>
          <w:tcPr>
            <w:tcW w:w="4375" w:type="dxa"/>
          </w:tcPr>
          <w:p w:rsidR="00FF6961" w:rsidRPr="00BE6377" w:rsidRDefault="0049750A" w:rsidP="0049750A">
            <w:pPr>
              <w:ind w:firstLine="0"/>
              <w:rPr>
                <w:rFonts w:cs="Times New Roman"/>
                <w:color w:val="000000" w:themeColor="text1"/>
                <w:sz w:val="28"/>
                <w:szCs w:val="28"/>
              </w:rPr>
            </w:pPr>
            <w:r>
              <w:rPr>
                <w:noProof/>
                <w:lang w:val="en-US"/>
              </w:rPr>
              <w:drawing>
                <wp:inline distT="0" distB="0" distL="0" distR="0" wp14:anchorId="3C4E40DC" wp14:editId="18B011A0">
                  <wp:extent cx="2640965" cy="2547620"/>
                  <wp:effectExtent l="0" t="0" r="0" b="0"/>
                  <wp:docPr id="5" name="Chart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623" w:type="dxa"/>
            <w:gridSpan w:val="2"/>
          </w:tcPr>
          <w:p w:rsidR="00FF6961" w:rsidRDefault="0087176C" w:rsidP="0087176C">
            <w:pPr>
              <w:ind w:firstLine="0"/>
              <w:rPr>
                <w:rFonts w:cs="Times New Roman"/>
                <w:sz w:val="28"/>
                <w:szCs w:val="28"/>
              </w:rPr>
            </w:pPr>
            <w:r>
              <w:rPr>
                <w:noProof/>
                <w:lang w:val="en-US"/>
              </w:rPr>
              <w:drawing>
                <wp:inline distT="0" distB="0" distL="0" distR="0" wp14:anchorId="4227C37C" wp14:editId="74E7FEB5">
                  <wp:extent cx="2863850" cy="2547620"/>
                  <wp:effectExtent l="0" t="0" r="0" b="0"/>
                  <wp:docPr id="6" name="Chart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F6961" w:rsidRPr="00BE6377" w:rsidTr="008717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554"/>
        </w:trPr>
        <w:tc>
          <w:tcPr>
            <w:tcW w:w="4375" w:type="dxa"/>
          </w:tcPr>
          <w:p w:rsidR="00FF6961" w:rsidRPr="0051399E" w:rsidRDefault="00021CFD" w:rsidP="0051399E">
            <w:pPr>
              <w:ind w:firstLine="0"/>
              <w:rPr>
                <w:rFonts w:cs="Times New Roman"/>
                <w:i/>
                <w:sz w:val="22"/>
                <w:szCs w:val="28"/>
              </w:rPr>
            </w:pPr>
            <w:r>
              <w:rPr>
                <w:rFonts w:cs="Times New Roman"/>
                <w:i/>
                <w:sz w:val="22"/>
                <w:szCs w:val="28"/>
              </w:rPr>
              <w:t>3</w:t>
            </w:r>
            <w:r w:rsidR="00FF6961" w:rsidRPr="0051399E">
              <w:rPr>
                <w:rFonts w:cs="Times New Roman"/>
                <w:i/>
                <w:sz w:val="22"/>
                <w:szCs w:val="28"/>
              </w:rPr>
              <w:t>.attēls. No tarificētās slodzes citu pienākumu veikšanai. Avots: turpat.</w:t>
            </w:r>
          </w:p>
        </w:tc>
        <w:tc>
          <w:tcPr>
            <w:tcW w:w="4623" w:type="dxa"/>
            <w:gridSpan w:val="2"/>
          </w:tcPr>
          <w:p w:rsidR="00FF6961" w:rsidRPr="0051399E" w:rsidRDefault="00021CFD" w:rsidP="0051399E">
            <w:pPr>
              <w:ind w:firstLine="0"/>
              <w:rPr>
                <w:rFonts w:cs="Times New Roman"/>
                <w:i/>
                <w:sz w:val="22"/>
                <w:szCs w:val="28"/>
              </w:rPr>
            </w:pPr>
            <w:r>
              <w:rPr>
                <w:rFonts w:cs="Times New Roman"/>
                <w:i/>
                <w:sz w:val="22"/>
                <w:szCs w:val="28"/>
              </w:rPr>
              <w:t>4</w:t>
            </w:r>
            <w:r w:rsidR="00FF6961" w:rsidRPr="0051399E">
              <w:rPr>
                <w:rFonts w:cs="Times New Roman"/>
                <w:i/>
                <w:sz w:val="22"/>
                <w:szCs w:val="28"/>
              </w:rPr>
              <w:t>.attēls. Alga ar piemaksām. Avots: turpat.</w:t>
            </w:r>
          </w:p>
        </w:tc>
      </w:tr>
    </w:tbl>
    <w:p w:rsidR="009E2720" w:rsidRPr="009E2720" w:rsidRDefault="009E2720" w:rsidP="0051399E">
      <w:r w:rsidRPr="009E2720">
        <w:lastRenderedPageBreak/>
        <w:t xml:space="preserve">Būtiskākie secinājumi par skolotāju darba </w:t>
      </w:r>
      <w:r>
        <w:t>samaksu un noslodzi</w:t>
      </w:r>
      <w:r w:rsidRPr="009E2720">
        <w:t xml:space="preserve"> 20</w:t>
      </w:r>
      <w:r>
        <w:t>20./2021</w:t>
      </w:r>
      <w:r w:rsidRPr="009E2720">
        <w:t>.</w:t>
      </w:r>
      <w:r w:rsidR="0087176C">
        <w:t xml:space="preserve"> </w:t>
      </w:r>
      <w:r w:rsidRPr="009E2720">
        <w:t>m</w:t>
      </w:r>
      <w:r w:rsidR="0077147E">
        <w:t>ācību gadā</w:t>
      </w:r>
      <w:r w:rsidR="0087176C">
        <w:t>:</w:t>
      </w:r>
    </w:p>
    <w:p w:rsidR="009E2720" w:rsidRPr="009E2720" w:rsidRDefault="0051399E" w:rsidP="0051399E">
      <w:r>
        <w:t>1. </w:t>
      </w:r>
      <w:r w:rsidR="009E2720" w:rsidRPr="009E2720">
        <w:t>76% pašvaldību vispārizglītojošo sko</w:t>
      </w:r>
      <w:r w:rsidR="0087176C">
        <w:t>lu skolotāju darba algas likme "apsteidz</w:t>
      </w:r>
      <w:r w:rsidR="00100071">
        <w:t>a</w:t>
      </w:r>
      <w:r w:rsidR="0087176C">
        <w:t>"</w:t>
      </w:r>
      <w:r w:rsidR="009E2720" w:rsidRPr="009E2720">
        <w:t xml:space="preserve"> indikatīvo pedagogu darba samaksas pieauguma grafiku laikposmam no 2018. gada 1. septembra līdz 2022. gada 31. decembrim. Salīdzinājumam: 2019./2020. m</w:t>
      </w:r>
      <w:r w:rsidR="0087176C">
        <w:t xml:space="preserve">ācību gadā </w:t>
      </w:r>
      <w:r w:rsidR="009E2720" w:rsidRPr="009E2720">
        <w:t>tādu skolotāju bija 68%.</w:t>
      </w:r>
    </w:p>
    <w:p w:rsidR="009E2720" w:rsidRPr="009E2720" w:rsidRDefault="0051399E" w:rsidP="0051399E">
      <w:r>
        <w:t>2. </w:t>
      </w:r>
      <w:r w:rsidR="009E2720" w:rsidRPr="009E2720">
        <w:t xml:space="preserve">Pašvaldību vispārizglītojošās skolās skolotāju slodze ir atkarīga no </w:t>
      </w:r>
      <w:r w:rsidR="00D53F0A">
        <w:t>izglītojamo</w:t>
      </w:r>
      <w:r w:rsidR="00D53F0A" w:rsidRPr="009E2720">
        <w:t xml:space="preserve"> </w:t>
      </w:r>
      <w:r w:rsidR="009E2720" w:rsidRPr="009E2720">
        <w:t xml:space="preserve">skaita skolā un skolas vadības vēlmes un prasmes risināt personālpolitikas jautājumus. </w:t>
      </w:r>
      <w:r w:rsidR="009E2720">
        <w:t>21% skolotāju kopēj</w:t>
      </w:r>
      <w:r w:rsidR="00600763">
        <w:t>ā slodze,</w:t>
      </w:r>
      <w:r w:rsidR="009E2720">
        <w:t xml:space="preserve"> ņemot vērā </w:t>
      </w:r>
      <w:r w:rsidR="00600763">
        <w:t xml:space="preserve">arī </w:t>
      </w:r>
      <w:r w:rsidR="009E2720">
        <w:t>darbu vairākās skolās</w:t>
      </w:r>
      <w:r w:rsidR="00600763">
        <w:t xml:space="preserve">, bija mazāka par 15 darba stundām nedēļā. </w:t>
      </w:r>
      <w:r w:rsidR="009E2720">
        <w:t xml:space="preserve"> </w:t>
      </w:r>
      <w:r w:rsidR="009E2720" w:rsidRPr="009E2720">
        <w:t>Vidējā skolotāju slodze pašvaldību vispārizglītojošās skolās ir 24,17 darba stundas nedēļā, kas ir 0,81 no normatīvos noteiktās skolotāju slodzes, kas atbilst mēneša darba algas likmei.</w:t>
      </w:r>
    </w:p>
    <w:p w:rsidR="00600763" w:rsidRDefault="0051399E" w:rsidP="0051399E">
      <w:r>
        <w:t>3. </w:t>
      </w:r>
      <w:r w:rsidR="00D92A14">
        <w:t>37% skolotāju darba slodzē vairāk pa</w:t>
      </w:r>
      <w:r w:rsidR="00100071">
        <w:t xml:space="preserve">r 30% no apmaksātā darba laika bija </w:t>
      </w:r>
      <w:r w:rsidR="00D92A14">
        <w:t>citu pienākumu veikšanai.</w:t>
      </w:r>
      <w:r w:rsidR="00D92A14" w:rsidRPr="00947AF9">
        <w:t xml:space="preserve"> </w:t>
      </w:r>
      <w:r w:rsidR="00600763" w:rsidRPr="00600763">
        <w:t>Neskatoties uz to, ka normatīvais regulējums</w:t>
      </w:r>
      <w:r w:rsidR="00600763">
        <w:rPr>
          <w:rStyle w:val="FootnoteReference"/>
          <w:szCs w:val="24"/>
        </w:rPr>
        <w:footnoteReference w:id="4"/>
      </w:r>
      <w:r w:rsidR="00600763" w:rsidRPr="00600763">
        <w:t xml:space="preserve"> ļauj skolotāja slodzē iekļaut apmaksātas darba stundas citu pienākumu veikšanai, tai skaitā mācību stundu sagatavošanai, </w:t>
      </w:r>
      <w:r w:rsidR="00600763">
        <w:t>6</w:t>
      </w:r>
      <w:r w:rsidR="00600763" w:rsidRPr="00600763">
        <w:t>% no visiem pašvaldību vispārizglītojošo skolu skolotājiem darba slodzē nav iekļautas apmaksātas darba stundas citu pienākumu veikšanai vai arī minēto darba stundu skaits veido mazāk par 5%</w:t>
      </w:r>
      <w:r w:rsidR="00C02F74">
        <w:t xml:space="preserve"> no tarificētās darba slodzes</w:t>
      </w:r>
      <w:r w:rsidR="00600763" w:rsidRPr="00600763">
        <w:t xml:space="preserve">. </w:t>
      </w:r>
      <w:r w:rsidR="00947AF9">
        <w:t>Šo skolotāju grupu veido s</w:t>
      </w:r>
      <w:r w:rsidR="00947AF9" w:rsidRPr="00947AF9">
        <w:t xml:space="preserve">kolu direktori, viņu vietnieki, izglītības metodiķi, sporta organizatori, izglītības iestāžu bibliotekāri, kas saskaņā ar pedagogu darba samaksas noteikumiem strādā kā skolotāji līdz septiņām stundām nedēļā, saņemot par to papildu samaksu. Minētajos gadījumos tarifikācijā </w:t>
      </w:r>
      <w:r w:rsidR="00947AF9">
        <w:t xml:space="preserve">minimāli </w:t>
      </w:r>
      <w:r w:rsidR="00947AF9" w:rsidRPr="00947AF9">
        <w:t xml:space="preserve">tiek iekļautas apmaksātas darba stundas mācību stundu sagatavošanai. </w:t>
      </w:r>
      <w:r w:rsidR="00947AF9">
        <w:t>Šajā skolotāju grupā ietilps</w:t>
      </w:r>
      <w:r w:rsidR="00F86E62">
        <w:t>t</w:t>
      </w:r>
      <w:r w:rsidR="00947AF9">
        <w:t xml:space="preserve"> arī d</w:t>
      </w:r>
      <w:r w:rsidR="00947AF9" w:rsidRPr="00947AF9">
        <w:t xml:space="preserve">aļa mazo skolu (līdz 60 </w:t>
      </w:r>
      <w:r w:rsidR="00D53F0A">
        <w:t>izglītojamiem</w:t>
      </w:r>
      <w:r w:rsidR="00947AF9" w:rsidRPr="00947AF9">
        <w:t>) skolotāju, kuriem netiek apmaksāts darbs mācību stundu sagatavošanai, kā arī citu pienākumu veikšanai.</w:t>
      </w:r>
    </w:p>
    <w:p w:rsidR="008A29EE" w:rsidRPr="00947AF9" w:rsidRDefault="0051399E" w:rsidP="0051399E">
      <w:r>
        <w:t>4. </w:t>
      </w:r>
      <w:r w:rsidR="008A29EE" w:rsidRPr="008A29EE">
        <w:t>Par optimālu varētu tikt uzskatīta darba samaksa 1</w:t>
      </w:r>
      <w:r w:rsidR="0087176C">
        <w:t xml:space="preserve"> </w:t>
      </w:r>
      <w:r w:rsidR="008A29EE" w:rsidRPr="008A29EE">
        <w:t xml:space="preserve">000 </w:t>
      </w:r>
      <w:r w:rsidR="008A29EE" w:rsidRPr="0087176C">
        <w:rPr>
          <w:i/>
        </w:rPr>
        <w:t>euro</w:t>
      </w:r>
      <w:r w:rsidR="008A29EE" w:rsidRPr="008A29EE">
        <w:t xml:space="preserve"> un vairāk, ko saņem </w:t>
      </w:r>
      <w:r w:rsidR="00383A5D">
        <w:t>42</w:t>
      </w:r>
      <w:r w:rsidR="008A29EE" w:rsidRPr="008A29EE">
        <w:t xml:space="preserve">% skolotāju, kuru darba slodze ir no </w:t>
      </w:r>
      <w:r w:rsidR="008A29EE">
        <w:t>30 līdz 40 darba stundām nedēļā.</w:t>
      </w:r>
    </w:p>
    <w:p w:rsidR="00E9750C" w:rsidRPr="00773EE2" w:rsidRDefault="0051399E" w:rsidP="0051399E">
      <w:r>
        <w:t>5. </w:t>
      </w:r>
      <w:r w:rsidR="00E9750C" w:rsidRPr="00947AF9">
        <w:t>Saistībā ar jaunā satura ieviešanu no 2020. gada 1. septembra un attālināto mācību procesu aktuāls kļūst jautājums par skolotāja tarificētās darba slodzes daļu, kas tiek apmaksāta citu pienākumu veikšanai, tai skaitā mācību stundu, mācību materiālu sagatavošanai. Finansējums, kas tiek  izmantots skolotāju darba</w:t>
      </w:r>
      <w:r w:rsidR="00100071">
        <w:t xml:space="preserve"> algas likmes paaugstināšanai, </w:t>
      </w:r>
      <w:r w:rsidR="00E9750C">
        <w:t xml:space="preserve">varētu tikt </w:t>
      </w:r>
      <w:r w:rsidR="00E9750C" w:rsidRPr="00947AF9">
        <w:t>izmanto</w:t>
      </w:r>
      <w:r w:rsidR="00E9750C">
        <w:t>s</w:t>
      </w:r>
      <w:r w:rsidR="00E9750C" w:rsidRPr="00947AF9">
        <w:t xml:space="preserve"> citu pienākumu apmaksai.</w:t>
      </w:r>
    </w:p>
    <w:p w:rsidR="00947AF9" w:rsidRPr="00A561BE" w:rsidRDefault="0051399E" w:rsidP="0051399E">
      <w:pPr>
        <w:rPr>
          <w:b/>
        </w:rPr>
      </w:pPr>
      <w:r w:rsidRPr="00391CC6">
        <w:rPr>
          <w:b/>
        </w:rPr>
        <w:t>6.</w:t>
      </w:r>
      <w:r w:rsidRPr="00B04471">
        <w:t> </w:t>
      </w:r>
      <w:r w:rsidR="00947AF9" w:rsidRPr="00A561BE">
        <w:rPr>
          <w:b/>
        </w:rPr>
        <w:t>Zemākās darba algas likmes celšana vien nenodrošina visiem skolotājiem jūtamu darba samaksas pieaugumu, jo liela daļa skolotāju strādā ar mazu darba slodzi.</w:t>
      </w:r>
    </w:p>
    <w:p w:rsidR="00947AF9" w:rsidRPr="00A561BE" w:rsidRDefault="0051399E" w:rsidP="0051399E">
      <w:pPr>
        <w:rPr>
          <w:b/>
        </w:rPr>
      </w:pPr>
      <w:r w:rsidRPr="00391CC6">
        <w:rPr>
          <w:b/>
        </w:rPr>
        <w:t>7.</w:t>
      </w:r>
      <w:r w:rsidRPr="00B04471">
        <w:t> </w:t>
      </w:r>
      <w:r w:rsidR="00947AF9" w:rsidRPr="00A561BE">
        <w:rPr>
          <w:b/>
        </w:rPr>
        <w:t>Lai panāktu būtisku skolotāju darba samaksas pieaugumu, jānodrošina priekšnosacījumu kopums</w:t>
      </w:r>
      <w:r w:rsidR="00947AF9" w:rsidRPr="00A561BE">
        <w:rPr>
          <w:rStyle w:val="FootnoteReference"/>
          <w:b/>
          <w:szCs w:val="24"/>
        </w:rPr>
        <w:footnoteReference w:id="5"/>
      </w:r>
      <w:r w:rsidR="00947AF9" w:rsidRPr="00A561BE">
        <w:rPr>
          <w:b/>
        </w:rPr>
        <w:t xml:space="preserve"> skolu tīkla optimizācijai ar mērķi rast optimālu </w:t>
      </w:r>
      <w:r w:rsidR="008B2B03" w:rsidRPr="00A561BE">
        <w:rPr>
          <w:b/>
        </w:rPr>
        <w:t>izglītojamo</w:t>
      </w:r>
      <w:r w:rsidR="00947AF9" w:rsidRPr="00A561BE">
        <w:rPr>
          <w:b/>
        </w:rPr>
        <w:t xml:space="preserve">/ skolotāju skaita attiecību (piemēram: ja apvieno divas mazas skolas vienā, bet turpina mācīt </w:t>
      </w:r>
      <w:r w:rsidR="00947AF9" w:rsidRPr="00A561BE">
        <w:rPr>
          <w:b/>
        </w:rPr>
        <w:lastRenderedPageBreak/>
        <w:t xml:space="preserve">abu skolu </w:t>
      </w:r>
      <w:r w:rsidR="008B2B03" w:rsidRPr="00A561BE">
        <w:rPr>
          <w:b/>
        </w:rPr>
        <w:t xml:space="preserve">izglītojamos </w:t>
      </w:r>
      <w:r w:rsidR="00947AF9" w:rsidRPr="00A561BE">
        <w:rPr>
          <w:b/>
        </w:rPr>
        <w:t>iepriekšējās adresēs un nesamazina skolotāju skaitu, tad skolotāju darba samaksā nekas nemainās).</w:t>
      </w:r>
    </w:p>
    <w:p w:rsidR="00C30E54" w:rsidRDefault="00021CFD" w:rsidP="00C30E54">
      <w:pPr>
        <w:ind w:firstLine="0"/>
      </w:pPr>
      <w:r>
        <w:tab/>
      </w:r>
      <w:r w:rsidRPr="00021CFD">
        <w:t>Indikatīvais pedagogu darba samaksas pieauguma grafiks laikposmam no 2018. gada 1. septembra līdz 2022. gada 31. decembrim</w:t>
      </w:r>
      <w:r>
        <w:t xml:space="preserve">, paredz zemākās pedagogu darba algas kāpumu katra gada 1.septembrī </w:t>
      </w:r>
      <w:r w:rsidRPr="00A21E09">
        <w:t>(1.tabula).</w:t>
      </w:r>
    </w:p>
    <w:p w:rsidR="00021CFD" w:rsidRDefault="00A561BE" w:rsidP="00A561BE">
      <w:pPr>
        <w:ind w:firstLine="0"/>
        <w:jc w:val="right"/>
      </w:pPr>
      <w:r w:rsidRPr="00A21E09">
        <w:t>1.tabula</w:t>
      </w:r>
      <w:r>
        <w:t>: Pedagogu zemākā darba algas likme</w:t>
      </w:r>
    </w:p>
    <w:tbl>
      <w:tblPr>
        <w:tblStyle w:val="TableGrid"/>
        <w:tblW w:w="94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112"/>
        <w:gridCol w:w="1439"/>
        <w:gridCol w:w="1439"/>
        <w:gridCol w:w="1490"/>
      </w:tblGrid>
      <w:tr w:rsidR="00021CFD" w:rsidRPr="00021CFD" w:rsidTr="00391CC6">
        <w:trPr>
          <w:trHeight w:val="282"/>
        </w:trPr>
        <w:tc>
          <w:tcPr>
            <w:tcW w:w="5112" w:type="dxa"/>
          </w:tcPr>
          <w:p w:rsidR="00021CFD" w:rsidRPr="00021CFD" w:rsidRDefault="00021CFD" w:rsidP="00021CFD">
            <w:pPr>
              <w:spacing w:after="160" w:line="259" w:lineRule="auto"/>
              <w:ind w:firstLine="0"/>
              <w:rPr>
                <w:szCs w:val="24"/>
              </w:rPr>
            </w:pPr>
          </w:p>
        </w:tc>
        <w:tc>
          <w:tcPr>
            <w:tcW w:w="1439" w:type="dxa"/>
            <w:vAlign w:val="center"/>
          </w:tcPr>
          <w:p w:rsidR="00021CFD" w:rsidRPr="00021CFD" w:rsidRDefault="00021CFD" w:rsidP="00391CC6">
            <w:pPr>
              <w:spacing w:line="259" w:lineRule="auto"/>
              <w:ind w:firstLine="0"/>
              <w:jc w:val="center"/>
              <w:rPr>
                <w:szCs w:val="24"/>
              </w:rPr>
            </w:pPr>
            <w:r w:rsidRPr="00021CFD">
              <w:rPr>
                <w:rFonts w:eastAsia="Times New Roman" w:cs="Times New Roman"/>
                <w:color w:val="000000"/>
                <w:szCs w:val="24"/>
              </w:rPr>
              <w:t>01.09.2020.</w:t>
            </w:r>
          </w:p>
        </w:tc>
        <w:tc>
          <w:tcPr>
            <w:tcW w:w="1439" w:type="dxa"/>
            <w:vAlign w:val="center"/>
          </w:tcPr>
          <w:p w:rsidR="00021CFD" w:rsidRPr="00021CFD" w:rsidRDefault="00021CFD" w:rsidP="00391CC6">
            <w:pPr>
              <w:spacing w:line="259" w:lineRule="auto"/>
              <w:ind w:firstLine="0"/>
              <w:jc w:val="center"/>
              <w:rPr>
                <w:szCs w:val="24"/>
              </w:rPr>
            </w:pPr>
            <w:r w:rsidRPr="00021CFD">
              <w:rPr>
                <w:rFonts w:eastAsia="Times New Roman" w:cs="Times New Roman"/>
                <w:color w:val="000000"/>
                <w:szCs w:val="24"/>
              </w:rPr>
              <w:t>01.09.2021.</w:t>
            </w:r>
          </w:p>
        </w:tc>
        <w:tc>
          <w:tcPr>
            <w:tcW w:w="1490" w:type="dxa"/>
            <w:vAlign w:val="center"/>
          </w:tcPr>
          <w:p w:rsidR="00021CFD" w:rsidRPr="00021CFD" w:rsidRDefault="00021CFD" w:rsidP="00391CC6">
            <w:pPr>
              <w:spacing w:line="259" w:lineRule="auto"/>
              <w:ind w:firstLine="0"/>
              <w:jc w:val="center"/>
              <w:rPr>
                <w:szCs w:val="24"/>
              </w:rPr>
            </w:pPr>
            <w:r w:rsidRPr="00021CFD">
              <w:rPr>
                <w:rFonts w:eastAsia="Times New Roman" w:cs="Times New Roman"/>
                <w:color w:val="000000"/>
                <w:szCs w:val="24"/>
              </w:rPr>
              <w:t>01.09.2022.</w:t>
            </w:r>
          </w:p>
        </w:tc>
      </w:tr>
      <w:tr w:rsidR="00021CFD" w:rsidRPr="00021CFD" w:rsidTr="00E64E05">
        <w:trPr>
          <w:trHeight w:val="847"/>
        </w:trPr>
        <w:tc>
          <w:tcPr>
            <w:tcW w:w="5112" w:type="dxa"/>
            <w:vAlign w:val="bottom"/>
          </w:tcPr>
          <w:p w:rsidR="00021CFD" w:rsidRPr="00021CFD" w:rsidRDefault="00021CFD" w:rsidP="00021CFD">
            <w:pPr>
              <w:spacing w:after="160" w:line="259" w:lineRule="auto"/>
              <w:ind w:firstLine="0"/>
              <w:rPr>
                <w:szCs w:val="24"/>
              </w:rPr>
            </w:pPr>
            <w:r w:rsidRPr="00021CFD">
              <w:rPr>
                <w:rFonts w:eastAsia="Times New Roman" w:cs="Times New Roman"/>
                <w:color w:val="000000"/>
                <w:szCs w:val="24"/>
              </w:rPr>
              <w:t>Zemākā pedagogu darba algas likme saskaņā ar pedagogu darba samaksas pieauguma grafiku</w:t>
            </w:r>
            <w:r w:rsidRPr="00021CFD">
              <w:rPr>
                <w:rFonts w:eastAsia="Times New Roman" w:cs="Times New Roman"/>
                <w:color w:val="000000"/>
                <w:szCs w:val="24"/>
                <w:vertAlign w:val="superscript"/>
              </w:rPr>
              <w:footnoteReference w:id="6"/>
            </w:r>
            <w:r w:rsidRPr="00021CFD">
              <w:rPr>
                <w:rFonts w:eastAsia="Times New Roman" w:cs="Times New Roman"/>
                <w:color w:val="000000"/>
                <w:szCs w:val="24"/>
              </w:rPr>
              <w:t xml:space="preserve">, </w:t>
            </w:r>
            <w:r w:rsidRPr="00021CFD">
              <w:rPr>
                <w:rFonts w:eastAsia="Times New Roman" w:cs="Times New Roman"/>
                <w:i/>
                <w:color w:val="000000"/>
                <w:szCs w:val="24"/>
              </w:rPr>
              <w:t>euro</w:t>
            </w:r>
          </w:p>
        </w:tc>
        <w:tc>
          <w:tcPr>
            <w:tcW w:w="1439" w:type="dxa"/>
            <w:vAlign w:val="center"/>
          </w:tcPr>
          <w:p w:rsidR="00021CFD" w:rsidRPr="00021CFD" w:rsidRDefault="00021CFD" w:rsidP="00021CFD">
            <w:pPr>
              <w:spacing w:after="160" w:line="259" w:lineRule="auto"/>
              <w:ind w:firstLine="0"/>
              <w:jc w:val="center"/>
              <w:rPr>
                <w:szCs w:val="24"/>
              </w:rPr>
            </w:pPr>
            <w:r w:rsidRPr="00021CFD">
              <w:rPr>
                <w:rFonts w:eastAsia="Times New Roman" w:cs="Times New Roman"/>
                <w:color w:val="000000"/>
                <w:szCs w:val="24"/>
              </w:rPr>
              <w:t>790</w:t>
            </w:r>
          </w:p>
        </w:tc>
        <w:tc>
          <w:tcPr>
            <w:tcW w:w="1439" w:type="dxa"/>
            <w:vAlign w:val="center"/>
          </w:tcPr>
          <w:p w:rsidR="00021CFD" w:rsidRPr="00021CFD" w:rsidRDefault="00021CFD" w:rsidP="00021CFD">
            <w:pPr>
              <w:spacing w:after="160" w:line="259" w:lineRule="auto"/>
              <w:ind w:firstLine="0"/>
              <w:jc w:val="center"/>
              <w:rPr>
                <w:szCs w:val="24"/>
              </w:rPr>
            </w:pPr>
            <w:r w:rsidRPr="00021CFD">
              <w:rPr>
                <w:rFonts w:eastAsia="Times New Roman" w:cs="Times New Roman"/>
                <w:color w:val="000000"/>
                <w:szCs w:val="24"/>
              </w:rPr>
              <w:t>830</w:t>
            </w:r>
          </w:p>
        </w:tc>
        <w:tc>
          <w:tcPr>
            <w:tcW w:w="1490" w:type="dxa"/>
            <w:vAlign w:val="center"/>
          </w:tcPr>
          <w:p w:rsidR="00021CFD" w:rsidRPr="00021CFD" w:rsidRDefault="00021CFD" w:rsidP="00021CFD">
            <w:pPr>
              <w:spacing w:after="160" w:line="259" w:lineRule="auto"/>
              <w:ind w:firstLine="0"/>
              <w:jc w:val="center"/>
              <w:rPr>
                <w:szCs w:val="24"/>
              </w:rPr>
            </w:pPr>
            <w:r w:rsidRPr="00021CFD">
              <w:rPr>
                <w:rFonts w:eastAsia="Times New Roman" w:cs="Times New Roman"/>
                <w:color w:val="000000"/>
                <w:szCs w:val="24"/>
              </w:rPr>
              <w:t>900</w:t>
            </w:r>
          </w:p>
        </w:tc>
      </w:tr>
      <w:tr w:rsidR="00021CFD" w:rsidRPr="00021CFD" w:rsidTr="00E64E05">
        <w:trPr>
          <w:trHeight w:val="835"/>
        </w:trPr>
        <w:tc>
          <w:tcPr>
            <w:tcW w:w="5112" w:type="dxa"/>
            <w:vAlign w:val="bottom"/>
          </w:tcPr>
          <w:p w:rsidR="00021CFD" w:rsidRPr="00021CFD" w:rsidRDefault="00021CFD" w:rsidP="00021CFD">
            <w:pPr>
              <w:spacing w:after="160" w:line="259" w:lineRule="auto"/>
              <w:ind w:firstLine="0"/>
              <w:rPr>
                <w:szCs w:val="24"/>
              </w:rPr>
            </w:pPr>
            <w:r w:rsidRPr="00021CFD">
              <w:rPr>
                <w:rFonts w:eastAsia="Times New Roman" w:cs="Times New Roman"/>
                <w:color w:val="000000"/>
                <w:szCs w:val="24"/>
              </w:rPr>
              <w:t>Pamata un vidējās izglītības skolotāju vienas darba stundas izmaksa (par 30 darba stundu slodzi),</w:t>
            </w:r>
            <w:r w:rsidRPr="00021CFD">
              <w:t xml:space="preserve"> </w:t>
            </w:r>
            <w:r w:rsidRPr="00021CFD">
              <w:rPr>
                <w:rFonts w:eastAsia="Times New Roman" w:cs="Times New Roman"/>
                <w:i/>
                <w:color w:val="000000"/>
                <w:szCs w:val="24"/>
              </w:rPr>
              <w:t>euro</w:t>
            </w:r>
          </w:p>
        </w:tc>
        <w:tc>
          <w:tcPr>
            <w:tcW w:w="1439" w:type="dxa"/>
            <w:vAlign w:val="center"/>
          </w:tcPr>
          <w:p w:rsidR="00021CFD" w:rsidRPr="00021CFD" w:rsidRDefault="00021CFD" w:rsidP="00021CFD">
            <w:pPr>
              <w:spacing w:after="160" w:line="259" w:lineRule="auto"/>
              <w:ind w:firstLine="0"/>
              <w:jc w:val="center"/>
              <w:rPr>
                <w:szCs w:val="24"/>
              </w:rPr>
            </w:pPr>
            <w:r w:rsidRPr="00021CFD">
              <w:rPr>
                <w:rFonts w:eastAsia="Times New Roman" w:cs="Times New Roman"/>
                <w:color w:val="000000"/>
                <w:szCs w:val="24"/>
              </w:rPr>
              <w:t>6,58</w:t>
            </w:r>
          </w:p>
        </w:tc>
        <w:tc>
          <w:tcPr>
            <w:tcW w:w="1439" w:type="dxa"/>
            <w:vAlign w:val="center"/>
          </w:tcPr>
          <w:p w:rsidR="00021CFD" w:rsidRPr="00021CFD" w:rsidRDefault="00021CFD" w:rsidP="00021CFD">
            <w:pPr>
              <w:spacing w:after="160" w:line="259" w:lineRule="auto"/>
              <w:ind w:firstLine="0"/>
              <w:jc w:val="center"/>
              <w:rPr>
                <w:szCs w:val="24"/>
              </w:rPr>
            </w:pPr>
            <w:r w:rsidRPr="00021CFD">
              <w:rPr>
                <w:rFonts w:eastAsia="Times New Roman" w:cs="Times New Roman"/>
                <w:color w:val="000000"/>
                <w:szCs w:val="24"/>
              </w:rPr>
              <w:t>6,92</w:t>
            </w:r>
          </w:p>
        </w:tc>
        <w:tc>
          <w:tcPr>
            <w:tcW w:w="1490" w:type="dxa"/>
            <w:vAlign w:val="center"/>
          </w:tcPr>
          <w:p w:rsidR="00021CFD" w:rsidRPr="00021CFD" w:rsidRDefault="00021CFD" w:rsidP="00021CFD">
            <w:pPr>
              <w:spacing w:after="160" w:line="259" w:lineRule="auto"/>
              <w:ind w:firstLine="0"/>
              <w:jc w:val="center"/>
              <w:rPr>
                <w:szCs w:val="24"/>
              </w:rPr>
            </w:pPr>
            <w:r w:rsidRPr="00021CFD">
              <w:rPr>
                <w:rFonts w:eastAsia="Times New Roman" w:cs="Times New Roman"/>
                <w:color w:val="000000"/>
                <w:szCs w:val="24"/>
              </w:rPr>
              <w:t>7,50</w:t>
            </w:r>
          </w:p>
        </w:tc>
      </w:tr>
    </w:tbl>
    <w:p w:rsidR="00751986" w:rsidRDefault="00A561BE" w:rsidP="00391CC6">
      <w:pPr>
        <w:spacing w:after="0"/>
        <w:ind w:firstLine="0"/>
      </w:pPr>
      <w:r>
        <w:t xml:space="preserve"> </w:t>
      </w:r>
    </w:p>
    <w:p w:rsidR="00021CFD" w:rsidRDefault="00A561BE" w:rsidP="00751986">
      <w:r>
        <w:t xml:space="preserve">Vienlaikus Ministru </w:t>
      </w:r>
      <w:r w:rsidRPr="00A561BE">
        <w:t>kabineta</w:t>
      </w:r>
      <w:r>
        <w:t xml:space="preserve"> 2018. gada 15. janvāra rīkojums</w:t>
      </w:r>
      <w:r w:rsidRPr="00A561BE">
        <w:t xml:space="preserve"> Nr. 17</w:t>
      </w:r>
      <w:r>
        <w:t xml:space="preserve"> nosaka, ka f</w:t>
      </w:r>
      <w:r w:rsidRPr="00A561BE">
        <w:t xml:space="preserve">inanšu resursus pedagogu darba samaksas pieauguma nodrošināšanai </w:t>
      </w:r>
      <w:r w:rsidR="00DC0298">
        <w:t>jāiegūst</w:t>
      </w:r>
      <w:r w:rsidRPr="00A561BE">
        <w:t>, sakārtojot izglītības iestāžu tīklu, efektivizējot izglītības procesu un piešķirot papildu finansējumu no pašvaldību budžetiem un valsts budžeta, ievērojot solidaritātes un paritātes principu.</w:t>
      </w:r>
    </w:p>
    <w:p w:rsidR="00E96F20" w:rsidRDefault="00C30E54" w:rsidP="00E96F20">
      <w:pPr>
        <w:pStyle w:val="Heading2"/>
        <w:rPr>
          <w:sz w:val="28"/>
          <w:szCs w:val="28"/>
        </w:rPr>
      </w:pPr>
      <w:bookmarkStart w:id="3" w:name="_Toc81299617"/>
      <w:r>
        <w:rPr>
          <w:sz w:val="28"/>
          <w:szCs w:val="28"/>
        </w:rPr>
        <w:t>1</w:t>
      </w:r>
      <w:r w:rsidR="00E96F20" w:rsidRPr="004B1BFC">
        <w:rPr>
          <w:sz w:val="28"/>
          <w:szCs w:val="28"/>
        </w:rPr>
        <w:t>.</w:t>
      </w:r>
      <w:r w:rsidR="00147628">
        <w:rPr>
          <w:sz w:val="28"/>
          <w:szCs w:val="28"/>
        </w:rPr>
        <w:t>2</w:t>
      </w:r>
      <w:r w:rsidR="00E96F20" w:rsidRPr="004B1BFC">
        <w:rPr>
          <w:sz w:val="28"/>
          <w:szCs w:val="28"/>
        </w:rPr>
        <w:t>. </w:t>
      </w:r>
      <w:r w:rsidR="00E96F20">
        <w:rPr>
          <w:sz w:val="28"/>
          <w:szCs w:val="28"/>
        </w:rPr>
        <w:t>Pašvaldību vispārizglītojošo skolu tīkla raksturojums</w:t>
      </w:r>
      <w:bookmarkEnd w:id="3"/>
    </w:p>
    <w:p w:rsidR="00E96F20" w:rsidRDefault="00751986" w:rsidP="00E96F20">
      <w:r w:rsidRPr="00751986">
        <w:t xml:space="preserve">Vispārizglītojošo skolu tīklam ir būtiska ietekme uz mērķdotācijas pedagogu darba samaksai efektīvu izlietojumu, t. i. skolās ar optimālu izglītojamo skaitu un izglītojamo skaita attiecību pret skolotāju skaitu pedagogi var saņemt lielāku darba samaksu. </w:t>
      </w:r>
      <w:r w:rsidRPr="00751986">
        <w:rPr>
          <w:i/>
        </w:rPr>
        <w:t>Piemēram</w:t>
      </w:r>
      <w:r w:rsidRPr="00751986">
        <w:t xml:space="preserve">: reālu </w:t>
      </w:r>
      <w:r>
        <w:t xml:space="preserve">pašvaldības </w:t>
      </w:r>
      <w:r w:rsidRPr="00751986">
        <w:t xml:space="preserve">pamatskolu, kas atšķiras ar skolēnu skaitu un skolotāju skaitu, VIIS pedagogu tarifikāciju 08.10.2020. datu apkopojums </w:t>
      </w:r>
      <w:r w:rsidRPr="00A21E09">
        <w:t>2. tabula</w:t>
      </w:r>
      <w:r w:rsidRPr="00751986">
        <w:t>.</w:t>
      </w:r>
    </w:p>
    <w:p w:rsidR="00A46539" w:rsidRDefault="00A46539" w:rsidP="00A46539">
      <w:pPr>
        <w:spacing w:after="0"/>
        <w:jc w:val="right"/>
      </w:pPr>
      <w:r w:rsidRPr="00A21E09">
        <w:t>2.tabula:</w:t>
      </w:r>
      <w:r w:rsidRPr="00A46539">
        <w:t xml:space="preserve"> </w:t>
      </w:r>
      <w:r>
        <w:t>5 reālu pašvaldību pamatskolu</w:t>
      </w:r>
    </w:p>
    <w:p w:rsidR="00A46539" w:rsidRDefault="00A46539" w:rsidP="00A46539">
      <w:pPr>
        <w:spacing w:after="0"/>
        <w:jc w:val="right"/>
      </w:pPr>
      <w:r>
        <w:t>08.10.2020. tarifikāciju datu apkopojums</w:t>
      </w:r>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397"/>
        <w:gridCol w:w="1296"/>
        <w:gridCol w:w="1147"/>
        <w:gridCol w:w="1350"/>
        <w:gridCol w:w="1188"/>
        <w:gridCol w:w="1466"/>
      </w:tblGrid>
      <w:tr w:rsidR="00A46539" w:rsidRPr="00FC30C7" w:rsidTr="00A21E09">
        <w:trPr>
          <w:trHeight w:val="813"/>
        </w:trPr>
        <w:tc>
          <w:tcPr>
            <w:tcW w:w="1560" w:type="dxa"/>
            <w:shd w:val="clear" w:color="auto" w:fill="auto"/>
            <w:noWrap/>
            <w:vAlign w:val="bottom"/>
            <w:hideMark/>
          </w:tcPr>
          <w:p w:rsidR="00A46539" w:rsidRPr="00FC30C7" w:rsidRDefault="00A46539" w:rsidP="00166AC7">
            <w:pPr>
              <w:spacing w:after="0" w:line="240" w:lineRule="auto"/>
              <w:ind w:firstLine="0"/>
              <w:jc w:val="left"/>
              <w:rPr>
                <w:rFonts w:eastAsia="Times New Roman" w:cs="Times New Roman"/>
                <w:sz w:val="20"/>
                <w:szCs w:val="24"/>
              </w:rPr>
            </w:pPr>
          </w:p>
        </w:tc>
        <w:tc>
          <w:tcPr>
            <w:tcW w:w="1397"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Izglītojamo skaits  01.09.2020.</w:t>
            </w:r>
          </w:p>
        </w:tc>
        <w:tc>
          <w:tcPr>
            <w:tcW w:w="1296"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Skolotāju skaits  01.09.2020.</w:t>
            </w:r>
          </w:p>
        </w:tc>
        <w:tc>
          <w:tcPr>
            <w:tcW w:w="1147"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Skolēnu skaits/</w:t>
            </w:r>
            <w:r w:rsidR="00391CC6">
              <w:rPr>
                <w:rFonts w:eastAsia="Times New Roman" w:cs="Times New Roman"/>
                <w:color w:val="000000"/>
                <w:sz w:val="22"/>
              </w:rPr>
              <w:br/>
            </w:r>
            <w:r w:rsidRPr="00FC30C7">
              <w:rPr>
                <w:rFonts w:eastAsia="Times New Roman" w:cs="Times New Roman"/>
                <w:color w:val="000000"/>
                <w:sz w:val="22"/>
              </w:rPr>
              <w:t>Skolotāju skaitu</w:t>
            </w:r>
          </w:p>
        </w:tc>
        <w:tc>
          <w:tcPr>
            <w:tcW w:w="1350"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 xml:space="preserve">Algas likme 01.09.2020., </w:t>
            </w:r>
            <w:r w:rsidRPr="00FC30C7">
              <w:rPr>
                <w:rFonts w:eastAsia="Times New Roman" w:cs="Times New Roman"/>
                <w:i/>
                <w:iCs/>
                <w:color w:val="000000"/>
                <w:sz w:val="22"/>
              </w:rPr>
              <w:t>euro</w:t>
            </w:r>
          </w:p>
        </w:tc>
        <w:tc>
          <w:tcPr>
            <w:tcW w:w="1188"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Vidējā skolotāju slodze, likmēs</w:t>
            </w:r>
          </w:p>
        </w:tc>
        <w:tc>
          <w:tcPr>
            <w:tcW w:w="1466"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 xml:space="preserve">Vidējā alga (ar piemaksām), </w:t>
            </w:r>
            <w:r w:rsidRPr="00FC30C7">
              <w:rPr>
                <w:rFonts w:eastAsia="Times New Roman" w:cs="Times New Roman"/>
                <w:i/>
                <w:iCs/>
                <w:color w:val="000000"/>
                <w:sz w:val="22"/>
              </w:rPr>
              <w:t>euro</w:t>
            </w:r>
          </w:p>
        </w:tc>
      </w:tr>
      <w:tr w:rsidR="00A46539" w:rsidRPr="00FC30C7" w:rsidTr="00A21E09">
        <w:trPr>
          <w:trHeight w:val="813"/>
        </w:trPr>
        <w:tc>
          <w:tcPr>
            <w:tcW w:w="1560" w:type="dxa"/>
            <w:shd w:val="clear" w:color="auto" w:fill="auto"/>
            <w:vAlign w:val="bottom"/>
            <w:hideMark/>
          </w:tcPr>
          <w:p w:rsidR="00A46539" w:rsidRPr="00FC30C7" w:rsidRDefault="00A46539" w:rsidP="00166AC7">
            <w:pPr>
              <w:spacing w:after="0" w:line="240" w:lineRule="auto"/>
              <w:ind w:firstLine="0"/>
              <w:jc w:val="left"/>
              <w:rPr>
                <w:rFonts w:eastAsia="Times New Roman" w:cs="Times New Roman"/>
                <w:color w:val="000000"/>
                <w:sz w:val="22"/>
              </w:rPr>
            </w:pPr>
            <w:r w:rsidRPr="00FC30C7">
              <w:rPr>
                <w:rFonts w:eastAsia="Times New Roman" w:cs="Times New Roman"/>
                <w:color w:val="000000"/>
                <w:sz w:val="22"/>
              </w:rPr>
              <w:t>Pamatskola - atrodas 10 km attālumā no pilsētas vidusskolas</w:t>
            </w:r>
          </w:p>
        </w:tc>
        <w:tc>
          <w:tcPr>
            <w:tcW w:w="1397"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20</w:t>
            </w:r>
          </w:p>
        </w:tc>
        <w:tc>
          <w:tcPr>
            <w:tcW w:w="129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10</w:t>
            </w:r>
          </w:p>
        </w:tc>
        <w:tc>
          <w:tcPr>
            <w:tcW w:w="1147"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2</w:t>
            </w:r>
          </w:p>
        </w:tc>
        <w:tc>
          <w:tcPr>
            <w:tcW w:w="1350"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790</w:t>
            </w:r>
          </w:p>
        </w:tc>
        <w:tc>
          <w:tcPr>
            <w:tcW w:w="1188" w:type="dxa"/>
            <w:shd w:val="clear" w:color="auto" w:fill="auto"/>
            <w:noWrap/>
            <w:vAlign w:val="center"/>
            <w:hideMark/>
          </w:tcPr>
          <w:p w:rsidR="00A46539" w:rsidRPr="00FC30C7" w:rsidRDefault="00391CC6" w:rsidP="00391CC6">
            <w:pPr>
              <w:spacing w:after="0" w:line="240" w:lineRule="auto"/>
              <w:ind w:firstLine="0"/>
              <w:jc w:val="center"/>
              <w:rPr>
                <w:rFonts w:eastAsia="Times New Roman" w:cs="Times New Roman"/>
                <w:color w:val="000000"/>
                <w:sz w:val="22"/>
              </w:rPr>
            </w:pPr>
            <w:r>
              <w:rPr>
                <w:rFonts w:eastAsia="Times New Roman" w:cs="Times New Roman"/>
                <w:color w:val="000000"/>
                <w:sz w:val="22"/>
              </w:rPr>
              <w:t>0,</w:t>
            </w:r>
            <w:r w:rsidR="00A46539" w:rsidRPr="00FC30C7">
              <w:rPr>
                <w:rFonts w:eastAsia="Times New Roman" w:cs="Times New Roman"/>
                <w:color w:val="000000"/>
                <w:sz w:val="22"/>
              </w:rPr>
              <w:t>26</w:t>
            </w:r>
          </w:p>
        </w:tc>
        <w:tc>
          <w:tcPr>
            <w:tcW w:w="146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204</w:t>
            </w:r>
          </w:p>
        </w:tc>
      </w:tr>
      <w:tr w:rsidR="00A46539" w:rsidRPr="00FC30C7" w:rsidTr="00A21E09">
        <w:trPr>
          <w:trHeight w:val="952"/>
        </w:trPr>
        <w:tc>
          <w:tcPr>
            <w:tcW w:w="1560" w:type="dxa"/>
            <w:shd w:val="clear" w:color="auto" w:fill="auto"/>
            <w:vAlign w:val="bottom"/>
            <w:hideMark/>
          </w:tcPr>
          <w:p w:rsidR="00A46539" w:rsidRPr="00FC30C7" w:rsidRDefault="00A46539" w:rsidP="00166AC7">
            <w:pPr>
              <w:spacing w:after="0" w:line="240" w:lineRule="auto"/>
              <w:ind w:firstLine="0"/>
              <w:jc w:val="left"/>
              <w:rPr>
                <w:rFonts w:eastAsia="Times New Roman" w:cs="Times New Roman"/>
                <w:color w:val="000000"/>
                <w:sz w:val="22"/>
              </w:rPr>
            </w:pPr>
            <w:r w:rsidRPr="00FC30C7">
              <w:rPr>
                <w:rFonts w:eastAsia="Times New Roman" w:cs="Times New Roman"/>
                <w:color w:val="000000"/>
                <w:sz w:val="22"/>
              </w:rPr>
              <w:lastRenderedPageBreak/>
              <w:t>Pamatskola -  atrodas 15 km attālumā no pilsētas vidusskolas</w:t>
            </w:r>
          </w:p>
        </w:tc>
        <w:tc>
          <w:tcPr>
            <w:tcW w:w="1397"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60</w:t>
            </w:r>
          </w:p>
        </w:tc>
        <w:tc>
          <w:tcPr>
            <w:tcW w:w="129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16</w:t>
            </w:r>
          </w:p>
        </w:tc>
        <w:tc>
          <w:tcPr>
            <w:tcW w:w="1147" w:type="dxa"/>
            <w:shd w:val="clear" w:color="auto" w:fill="auto"/>
            <w:noWrap/>
            <w:vAlign w:val="center"/>
            <w:hideMark/>
          </w:tcPr>
          <w:p w:rsidR="00A46539" w:rsidRPr="00FC30C7" w:rsidRDefault="00391CC6" w:rsidP="00391CC6">
            <w:pPr>
              <w:spacing w:after="0" w:line="240" w:lineRule="auto"/>
              <w:ind w:firstLine="0"/>
              <w:jc w:val="center"/>
              <w:rPr>
                <w:rFonts w:eastAsia="Times New Roman" w:cs="Times New Roman"/>
                <w:color w:val="000000"/>
                <w:sz w:val="22"/>
              </w:rPr>
            </w:pPr>
            <w:r>
              <w:rPr>
                <w:rFonts w:eastAsia="Times New Roman" w:cs="Times New Roman"/>
                <w:color w:val="000000"/>
                <w:sz w:val="22"/>
              </w:rPr>
              <w:t>3,</w:t>
            </w:r>
            <w:r w:rsidR="00A46539" w:rsidRPr="00FC30C7">
              <w:rPr>
                <w:rFonts w:eastAsia="Times New Roman" w:cs="Times New Roman"/>
                <w:color w:val="000000"/>
                <w:sz w:val="22"/>
              </w:rPr>
              <w:t>75</w:t>
            </w:r>
          </w:p>
        </w:tc>
        <w:tc>
          <w:tcPr>
            <w:tcW w:w="1350"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790</w:t>
            </w:r>
          </w:p>
        </w:tc>
        <w:tc>
          <w:tcPr>
            <w:tcW w:w="1188"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0</w:t>
            </w:r>
            <w:r w:rsidR="00391CC6">
              <w:rPr>
                <w:rFonts w:eastAsia="Times New Roman" w:cs="Times New Roman"/>
                <w:color w:val="000000"/>
                <w:sz w:val="22"/>
              </w:rPr>
              <w:t>,</w:t>
            </w:r>
            <w:r w:rsidRPr="00FC30C7">
              <w:rPr>
                <w:rFonts w:eastAsia="Times New Roman" w:cs="Times New Roman"/>
                <w:color w:val="000000"/>
                <w:sz w:val="22"/>
              </w:rPr>
              <w:t>55</w:t>
            </w:r>
          </w:p>
        </w:tc>
        <w:tc>
          <w:tcPr>
            <w:tcW w:w="146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438</w:t>
            </w:r>
          </w:p>
        </w:tc>
      </w:tr>
      <w:tr w:rsidR="00A46539" w:rsidRPr="00FC30C7" w:rsidTr="00A21E09">
        <w:trPr>
          <w:trHeight w:val="813"/>
        </w:trPr>
        <w:tc>
          <w:tcPr>
            <w:tcW w:w="1560" w:type="dxa"/>
            <w:shd w:val="clear" w:color="auto" w:fill="auto"/>
            <w:vAlign w:val="bottom"/>
            <w:hideMark/>
          </w:tcPr>
          <w:p w:rsidR="00A46539" w:rsidRPr="00FC30C7" w:rsidRDefault="00A46539" w:rsidP="00166AC7">
            <w:pPr>
              <w:spacing w:after="0" w:line="240" w:lineRule="auto"/>
              <w:ind w:firstLine="0"/>
              <w:jc w:val="left"/>
              <w:rPr>
                <w:rFonts w:eastAsia="Times New Roman" w:cs="Times New Roman"/>
                <w:color w:val="000000"/>
                <w:sz w:val="22"/>
              </w:rPr>
            </w:pPr>
            <w:r w:rsidRPr="00FC30C7">
              <w:rPr>
                <w:rFonts w:eastAsia="Times New Roman" w:cs="Times New Roman"/>
                <w:color w:val="000000"/>
                <w:sz w:val="22"/>
              </w:rPr>
              <w:t>Pamatskola -  atrodas 9 km attālumā no pilsētas vidusskolas</w:t>
            </w:r>
          </w:p>
        </w:tc>
        <w:tc>
          <w:tcPr>
            <w:tcW w:w="1397"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100 (vidēji 11 skolēni klasē)</w:t>
            </w:r>
          </w:p>
        </w:tc>
        <w:tc>
          <w:tcPr>
            <w:tcW w:w="129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18</w:t>
            </w:r>
          </w:p>
        </w:tc>
        <w:tc>
          <w:tcPr>
            <w:tcW w:w="1147" w:type="dxa"/>
            <w:shd w:val="clear" w:color="auto" w:fill="auto"/>
            <w:noWrap/>
            <w:vAlign w:val="center"/>
            <w:hideMark/>
          </w:tcPr>
          <w:p w:rsidR="00A46539" w:rsidRPr="00FC30C7" w:rsidRDefault="00391CC6" w:rsidP="00391CC6">
            <w:pPr>
              <w:spacing w:after="0" w:line="240" w:lineRule="auto"/>
              <w:ind w:firstLine="0"/>
              <w:jc w:val="center"/>
              <w:rPr>
                <w:rFonts w:eastAsia="Times New Roman" w:cs="Times New Roman"/>
                <w:color w:val="000000"/>
                <w:sz w:val="22"/>
              </w:rPr>
            </w:pPr>
            <w:r>
              <w:rPr>
                <w:rFonts w:eastAsia="Times New Roman" w:cs="Times New Roman"/>
                <w:color w:val="000000"/>
                <w:sz w:val="22"/>
              </w:rPr>
              <w:t>5,</w:t>
            </w:r>
            <w:r w:rsidR="00A46539" w:rsidRPr="00FC30C7">
              <w:rPr>
                <w:rFonts w:eastAsia="Times New Roman" w:cs="Times New Roman"/>
                <w:color w:val="000000"/>
                <w:sz w:val="22"/>
              </w:rPr>
              <w:t>56</w:t>
            </w:r>
          </w:p>
        </w:tc>
        <w:tc>
          <w:tcPr>
            <w:tcW w:w="1350"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790</w:t>
            </w:r>
          </w:p>
        </w:tc>
        <w:tc>
          <w:tcPr>
            <w:tcW w:w="1188" w:type="dxa"/>
            <w:shd w:val="clear" w:color="auto" w:fill="auto"/>
            <w:noWrap/>
            <w:vAlign w:val="center"/>
            <w:hideMark/>
          </w:tcPr>
          <w:p w:rsidR="00A46539" w:rsidRPr="00FC30C7" w:rsidRDefault="00391CC6" w:rsidP="00391CC6">
            <w:pPr>
              <w:spacing w:after="0" w:line="240" w:lineRule="auto"/>
              <w:ind w:firstLine="0"/>
              <w:jc w:val="center"/>
              <w:rPr>
                <w:rFonts w:eastAsia="Times New Roman" w:cs="Times New Roman"/>
                <w:color w:val="000000"/>
                <w:sz w:val="22"/>
              </w:rPr>
            </w:pPr>
            <w:r>
              <w:rPr>
                <w:rFonts w:eastAsia="Times New Roman" w:cs="Times New Roman"/>
                <w:color w:val="000000"/>
                <w:sz w:val="22"/>
              </w:rPr>
              <w:t>0,</w:t>
            </w:r>
            <w:r w:rsidR="00A46539" w:rsidRPr="00FC30C7">
              <w:rPr>
                <w:rFonts w:eastAsia="Times New Roman" w:cs="Times New Roman"/>
                <w:color w:val="000000"/>
                <w:sz w:val="22"/>
              </w:rPr>
              <w:t>825</w:t>
            </w:r>
          </w:p>
        </w:tc>
        <w:tc>
          <w:tcPr>
            <w:tcW w:w="146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705</w:t>
            </w:r>
          </w:p>
        </w:tc>
      </w:tr>
      <w:tr w:rsidR="00A46539" w:rsidRPr="00FC30C7" w:rsidTr="00A21E09">
        <w:trPr>
          <w:trHeight w:val="546"/>
        </w:trPr>
        <w:tc>
          <w:tcPr>
            <w:tcW w:w="1560" w:type="dxa"/>
            <w:shd w:val="clear" w:color="auto" w:fill="auto"/>
            <w:vAlign w:val="bottom"/>
            <w:hideMark/>
          </w:tcPr>
          <w:p w:rsidR="00A46539" w:rsidRPr="00FC30C7" w:rsidRDefault="00A46539" w:rsidP="00DC0298">
            <w:pPr>
              <w:spacing w:after="0" w:line="240" w:lineRule="auto"/>
              <w:ind w:firstLine="0"/>
              <w:jc w:val="left"/>
              <w:rPr>
                <w:rFonts w:eastAsia="Times New Roman" w:cs="Times New Roman"/>
                <w:color w:val="000000"/>
                <w:sz w:val="22"/>
              </w:rPr>
            </w:pPr>
            <w:r w:rsidRPr="00FC30C7">
              <w:rPr>
                <w:rFonts w:eastAsia="Times New Roman" w:cs="Times New Roman"/>
                <w:color w:val="000000"/>
                <w:sz w:val="22"/>
              </w:rPr>
              <w:t xml:space="preserve">Pamatskola - atrodas </w:t>
            </w:r>
            <w:r w:rsidR="00DC0298">
              <w:rPr>
                <w:rFonts w:eastAsia="Times New Roman" w:cs="Times New Roman"/>
                <w:color w:val="000000"/>
                <w:sz w:val="22"/>
              </w:rPr>
              <w:t>nelielā pilsētā</w:t>
            </w:r>
          </w:p>
        </w:tc>
        <w:tc>
          <w:tcPr>
            <w:tcW w:w="1397"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300 (vidēji 16 skolēni klasē)</w:t>
            </w:r>
          </w:p>
        </w:tc>
        <w:tc>
          <w:tcPr>
            <w:tcW w:w="129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25</w:t>
            </w:r>
          </w:p>
        </w:tc>
        <w:tc>
          <w:tcPr>
            <w:tcW w:w="1147"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12</w:t>
            </w:r>
          </w:p>
        </w:tc>
        <w:tc>
          <w:tcPr>
            <w:tcW w:w="1350"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w:t>
            </w:r>
            <w:r w:rsidR="00391CC6">
              <w:rPr>
                <w:rFonts w:eastAsia="Times New Roman" w:cs="Times New Roman"/>
                <w:color w:val="000000"/>
                <w:sz w:val="22"/>
              </w:rPr>
              <w:t xml:space="preserve"> </w:t>
            </w:r>
            <w:r w:rsidRPr="00FC30C7">
              <w:rPr>
                <w:rFonts w:eastAsia="Times New Roman" w:cs="Times New Roman"/>
                <w:color w:val="000000"/>
                <w:sz w:val="22"/>
              </w:rPr>
              <w:t>139</w:t>
            </w:r>
          </w:p>
        </w:tc>
        <w:tc>
          <w:tcPr>
            <w:tcW w:w="1188"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0</w:t>
            </w:r>
            <w:r w:rsidR="00391CC6">
              <w:rPr>
                <w:rFonts w:eastAsia="Times New Roman" w:cs="Times New Roman"/>
                <w:color w:val="000000"/>
                <w:sz w:val="22"/>
              </w:rPr>
              <w:t>,</w:t>
            </w:r>
            <w:r w:rsidRPr="00FC30C7">
              <w:rPr>
                <w:rFonts w:eastAsia="Times New Roman" w:cs="Times New Roman"/>
                <w:color w:val="000000"/>
                <w:sz w:val="22"/>
              </w:rPr>
              <w:t>97</w:t>
            </w:r>
          </w:p>
        </w:tc>
        <w:tc>
          <w:tcPr>
            <w:tcW w:w="146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w:t>
            </w:r>
            <w:r w:rsidR="00391CC6">
              <w:rPr>
                <w:rFonts w:eastAsia="Times New Roman" w:cs="Times New Roman"/>
                <w:color w:val="000000"/>
                <w:sz w:val="22"/>
              </w:rPr>
              <w:t xml:space="preserve"> </w:t>
            </w:r>
            <w:r w:rsidRPr="00FC30C7">
              <w:rPr>
                <w:rFonts w:eastAsia="Times New Roman" w:cs="Times New Roman"/>
                <w:color w:val="000000"/>
                <w:sz w:val="22"/>
              </w:rPr>
              <w:t>146</w:t>
            </w:r>
          </w:p>
        </w:tc>
      </w:tr>
      <w:tr w:rsidR="00A46539" w:rsidRPr="00FC30C7" w:rsidTr="00A21E09">
        <w:trPr>
          <w:trHeight w:val="813"/>
        </w:trPr>
        <w:tc>
          <w:tcPr>
            <w:tcW w:w="1560" w:type="dxa"/>
            <w:shd w:val="clear" w:color="auto" w:fill="auto"/>
            <w:vAlign w:val="bottom"/>
            <w:hideMark/>
          </w:tcPr>
          <w:p w:rsidR="00A46539" w:rsidRPr="00FC30C7" w:rsidRDefault="00A46539" w:rsidP="00166AC7">
            <w:pPr>
              <w:spacing w:after="0" w:line="240" w:lineRule="auto"/>
              <w:ind w:firstLine="0"/>
              <w:jc w:val="left"/>
              <w:rPr>
                <w:rFonts w:eastAsia="Times New Roman" w:cs="Times New Roman"/>
                <w:color w:val="000000"/>
                <w:sz w:val="22"/>
              </w:rPr>
            </w:pPr>
            <w:r w:rsidRPr="00FC30C7">
              <w:rPr>
                <w:rFonts w:eastAsia="Times New Roman" w:cs="Times New Roman"/>
                <w:color w:val="000000"/>
                <w:sz w:val="22"/>
              </w:rPr>
              <w:t>Pamatskola - atrodas pilsētā 70 km no Rīgas</w:t>
            </w:r>
          </w:p>
        </w:tc>
        <w:tc>
          <w:tcPr>
            <w:tcW w:w="1397" w:type="dxa"/>
            <w:shd w:val="clear" w:color="auto" w:fill="auto"/>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505 (vidēji 25 skolēni klasē)</w:t>
            </w:r>
          </w:p>
        </w:tc>
        <w:tc>
          <w:tcPr>
            <w:tcW w:w="129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36</w:t>
            </w:r>
          </w:p>
        </w:tc>
        <w:tc>
          <w:tcPr>
            <w:tcW w:w="1147"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14</w:t>
            </w:r>
            <w:r w:rsidR="00391CC6">
              <w:rPr>
                <w:rFonts w:eastAsia="Times New Roman" w:cs="Times New Roman"/>
                <w:color w:val="000000"/>
                <w:sz w:val="22"/>
              </w:rPr>
              <w:t>,</w:t>
            </w:r>
            <w:r w:rsidRPr="00FC30C7">
              <w:rPr>
                <w:rFonts w:eastAsia="Times New Roman" w:cs="Times New Roman"/>
                <w:color w:val="000000"/>
                <w:sz w:val="22"/>
              </w:rPr>
              <w:t>03</w:t>
            </w:r>
          </w:p>
        </w:tc>
        <w:tc>
          <w:tcPr>
            <w:tcW w:w="1350"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900</w:t>
            </w:r>
          </w:p>
        </w:tc>
        <w:tc>
          <w:tcPr>
            <w:tcW w:w="1188" w:type="dxa"/>
            <w:shd w:val="clear" w:color="auto" w:fill="auto"/>
            <w:noWrap/>
            <w:vAlign w:val="center"/>
            <w:hideMark/>
          </w:tcPr>
          <w:p w:rsidR="00A46539" w:rsidRPr="00FC30C7" w:rsidRDefault="00391CC6" w:rsidP="00391CC6">
            <w:pPr>
              <w:spacing w:after="0" w:line="240" w:lineRule="auto"/>
              <w:ind w:firstLine="0"/>
              <w:jc w:val="center"/>
              <w:rPr>
                <w:rFonts w:eastAsia="Times New Roman" w:cs="Times New Roman"/>
                <w:color w:val="000000"/>
                <w:sz w:val="22"/>
              </w:rPr>
            </w:pPr>
            <w:r>
              <w:rPr>
                <w:rFonts w:eastAsia="Times New Roman" w:cs="Times New Roman"/>
                <w:color w:val="000000"/>
                <w:sz w:val="22"/>
              </w:rPr>
              <w:t>1,</w:t>
            </w:r>
            <w:r w:rsidR="00A46539" w:rsidRPr="00FC30C7">
              <w:rPr>
                <w:rFonts w:eastAsia="Times New Roman" w:cs="Times New Roman"/>
                <w:color w:val="000000"/>
                <w:sz w:val="22"/>
              </w:rPr>
              <w:t>07</w:t>
            </w:r>
          </w:p>
        </w:tc>
        <w:tc>
          <w:tcPr>
            <w:tcW w:w="1466" w:type="dxa"/>
            <w:shd w:val="clear" w:color="auto" w:fill="auto"/>
            <w:noWrap/>
            <w:vAlign w:val="center"/>
            <w:hideMark/>
          </w:tcPr>
          <w:p w:rsidR="00A46539" w:rsidRPr="00FC30C7" w:rsidRDefault="00A46539" w:rsidP="00391CC6">
            <w:pPr>
              <w:spacing w:after="0" w:line="240" w:lineRule="auto"/>
              <w:ind w:firstLine="0"/>
              <w:jc w:val="center"/>
              <w:rPr>
                <w:rFonts w:eastAsia="Times New Roman" w:cs="Times New Roman"/>
                <w:color w:val="000000"/>
                <w:sz w:val="22"/>
              </w:rPr>
            </w:pPr>
            <w:r w:rsidRPr="00FC30C7">
              <w:rPr>
                <w:rFonts w:eastAsia="Times New Roman" w:cs="Times New Roman"/>
                <w:color w:val="000000"/>
                <w:sz w:val="22"/>
              </w:rPr>
              <w:t>1</w:t>
            </w:r>
            <w:r w:rsidR="00391CC6">
              <w:rPr>
                <w:rFonts w:eastAsia="Times New Roman" w:cs="Times New Roman"/>
                <w:color w:val="000000"/>
                <w:sz w:val="22"/>
              </w:rPr>
              <w:t xml:space="preserve"> </w:t>
            </w:r>
            <w:r w:rsidRPr="00FC30C7">
              <w:rPr>
                <w:rFonts w:eastAsia="Times New Roman" w:cs="Times New Roman"/>
                <w:color w:val="000000"/>
                <w:sz w:val="22"/>
              </w:rPr>
              <w:t>057</w:t>
            </w:r>
          </w:p>
        </w:tc>
      </w:tr>
    </w:tbl>
    <w:p w:rsidR="00A46539" w:rsidRDefault="00A46539" w:rsidP="00A46539">
      <w:pPr>
        <w:ind w:firstLine="0"/>
      </w:pPr>
    </w:p>
    <w:p w:rsidR="00E96F20" w:rsidRPr="00A71D9C" w:rsidRDefault="00E96F20" w:rsidP="00E96F20">
      <w:r w:rsidRPr="00A71D9C">
        <w:t>Demogrāfiskās, migrācijas un nodarbinātības tendences Latvijā ir radījušas būtisku ietekmi arī uz izglītības nozari. Meklējot piemērotākos risinājumus kvalitatīvas izglītības un skolu tīkla efektivitātes nodrošināšanai, izmaiņas veiktas arī pašvaldību vispārējās izglītības iestāžu tīklā, pašvaldībām lemjot par to dibināto izglītības iestāžu reorganizāciju vai likvidāciju. Tomēr, neskatoties uz pašvaldību vispārējās izglītības iestāžu skaita izmaiņām (pēc oficiālās statistikas datiem no 2010./2011.</w:t>
      </w:r>
      <w:r>
        <w:t xml:space="preserve"> mācību gada </w:t>
      </w:r>
      <w:r w:rsidRPr="00A71D9C">
        <w:t>līdz 2019./2020.</w:t>
      </w:r>
      <w:r>
        <w:t xml:space="preserve"> </w:t>
      </w:r>
      <w:r w:rsidRPr="00A71D9C">
        <w:t>m</w:t>
      </w:r>
      <w:r>
        <w:t>ācību gadam</w:t>
      </w:r>
      <w:r w:rsidRPr="00A71D9C">
        <w:t xml:space="preserve"> pašvaldību vispārējās izglītības iestāžu (tai skaitā, speciālās izglītības iestādes) skaits ir samazinājies par aptuveni 20%), minētajā laika periodā par aptuveni 10% samazinājies arī izglītojamo skaits, turklāt, salīdzinot datus ilgākā laika periodā, izglītojamo skaita samazinājums liecina, ka esošā izglītības iestāžu tīkla kapacitāte paredzēta ievērojami lielākam izglītojamo skaitam. Noslēdzot 2020./2021.</w:t>
      </w:r>
      <w:r>
        <w:t xml:space="preserve"> </w:t>
      </w:r>
      <w:r w:rsidRPr="00A71D9C">
        <w:t>m</w:t>
      </w:r>
      <w:r>
        <w:t xml:space="preserve">ācību </w:t>
      </w:r>
      <w:r w:rsidRPr="00A71D9C">
        <w:t>g</w:t>
      </w:r>
      <w:r>
        <w:t>adu</w:t>
      </w:r>
      <w:r w:rsidRPr="00A71D9C">
        <w:t xml:space="preserve"> 44 novados visās vispārizglītojošās skolās izglītojamo un skolotāju skaita proporcija ir zem astoņiem </w:t>
      </w:r>
      <w:r>
        <w:t>izglītojamie</w:t>
      </w:r>
      <w:r w:rsidRPr="00A71D9C">
        <w:t xml:space="preserve"> uz vienu skolotāju. </w:t>
      </w:r>
    </w:p>
    <w:p w:rsidR="00E96F20" w:rsidRDefault="00E96F20" w:rsidP="00E96F20">
      <w:r w:rsidRPr="00A71D9C">
        <w:t xml:space="preserve">Izglītojamo skaita izmaiņu rezultātā samazinājies vidējais izglītojamo skaits izglītības iestādēs, ko pārskatos par Latviju akcentē arī Ekonomiskās sadarbības un attīstības organizācija (turpmāk – OECD), norādot, ka Latvijā vidējais </w:t>
      </w:r>
      <w:r>
        <w:t>izglītojamo</w:t>
      </w:r>
      <w:r w:rsidRPr="00A71D9C">
        <w:t xml:space="preserve"> skaits klasēs ir mazāks nekā OECD valstīs vidēji gan sākumskolas, gan pamatizglītības otrā posma klasēs, tādējādi arī palielinot izglītības izmaksas, jo attiecīgajam </w:t>
      </w:r>
      <w:r>
        <w:t>izglītojamo</w:t>
      </w:r>
      <w:r w:rsidRPr="00A71D9C">
        <w:t xml:space="preserve"> skaitam nepieciešams vairāk skolotāju</w:t>
      </w:r>
      <w:r>
        <w:rPr>
          <w:rStyle w:val="FootnoteReference"/>
          <w:szCs w:val="24"/>
        </w:rPr>
        <w:footnoteReference w:id="7"/>
      </w:r>
      <w:r w:rsidRPr="00A71D9C">
        <w:t xml:space="preserve">.  Vienlaikus OECD secina, ka, turpinot izglītības iestāžu tīkla sakārtošanu, tādējādi palielinot vidējo </w:t>
      </w:r>
      <w:r>
        <w:t>izglītojamo</w:t>
      </w:r>
      <w:r w:rsidRPr="00A71D9C">
        <w:t xml:space="preserve"> skaitu klasēs, būtu iespējams paaugstināt pedagogu atalgojumu</w:t>
      </w:r>
      <w:r>
        <w:rPr>
          <w:rStyle w:val="FootnoteReference"/>
          <w:szCs w:val="24"/>
        </w:rPr>
        <w:footnoteReference w:id="8"/>
      </w:r>
      <w:r>
        <w:t xml:space="preserve">. </w:t>
      </w:r>
    </w:p>
    <w:p w:rsidR="00391CC6" w:rsidRDefault="00391CC6">
      <w:pPr>
        <w:ind w:firstLine="0"/>
        <w:jc w:val="left"/>
        <w:rPr>
          <w:highlight w:val="green"/>
        </w:rPr>
      </w:pPr>
      <w:r>
        <w:rPr>
          <w:highlight w:val="green"/>
        </w:rPr>
        <w:br w:type="page"/>
      </w:r>
    </w:p>
    <w:p w:rsidR="00E96F20" w:rsidRDefault="00021CFD" w:rsidP="00E96F20">
      <w:pPr>
        <w:spacing w:after="0"/>
        <w:jc w:val="right"/>
      </w:pPr>
      <w:r w:rsidRPr="00A21E09">
        <w:lastRenderedPageBreak/>
        <w:t>5</w:t>
      </w:r>
      <w:r w:rsidR="00E96F20" w:rsidRPr="00A21E09">
        <w:t>.attēls</w:t>
      </w:r>
      <w:r w:rsidR="00E96F20">
        <w:t xml:space="preserve">: </w:t>
      </w:r>
      <w:r w:rsidR="00E96F20" w:rsidRPr="00A71D9C">
        <w:t xml:space="preserve">OECD dati par </w:t>
      </w:r>
      <w:r w:rsidR="00E96F20">
        <w:t>izglītojamo</w:t>
      </w:r>
      <w:r w:rsidR="00E96F20" w:rsidRPr="00A71D9C">
        <w:t xml:space="preserve"> un skolotāju </w:t>
      </w:r>
    </w:p>
    <w:p w:rsidR="00E96F20" w:rsidRDefault="00E96F20" w:rsidP="00E96F20">
      <w:pPr>
        <w:spacing w:after="0"/>
        <w:jc w:val="right"/>
      </w:pPr>
      <w:r w:rsidRPr="00A71D9C">
        <w:t>skaita attiecību</w:t>
      </w:r>
      <w:r>
        <w:t>, 2018</w:t>
      </w:r>
      <w:r>
        <w:rPr>
          <w:rStyle w:val="FootnoteReference"/>
        </w:rPr>
        <w:footnoteReference w:id="9"/>
      </w:r>
    </w:p>
    <w:p w:rsidR="00E96F20" w:rsidRDefault="00E96F20" w:rsidP="00E96F20">
      <w:pPr>
        <w:ind w:firstLine="0"/>
      </w:pPr>
      <w:r>
        <w:rPr>
          <w:noProof/>
          <w:lang w:val="en-US"/>
        </w:rPr>
        <w:drawing>
          <wp:inline distT="0" distB="0" distL="0" distR="0" wp14:anchorId="24E499E6" wp14:editId="70F0DBE7">
            <wp:extent cx="5924550" cy="303720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D47FA" w:rsidRDefault="002D47FA" w:rsidP="002D47FA">
      <w:r>
        <w:t>Savukārt Eiropas Savienības Padomes 2019. gada 5. jūnija ieteikumos par Latvijas 2019. gada valsts reformu programmu secināts, ka kvalitatīvas izglītības pieejamība joprojām ir atkarīga no dzīvesvietas un skolas veida, tāpēc ieteikts paaugstināt izglītības kvalitāti un efektivitāti.</w:t>
      </w:r>
      <w:r>
        <w:rPr>
          <w:rStyle w:val="FootnoteReference"/>
        </w:rPr>
        <w:footnoteReference w:id="10"/>
      </w:r>
      <w:r>
        <w:t xml:space="preserve"> </w:t>
      </w:r>
    </w:p>
    <w:p w:rsidR="002D47FA" w:rsidRDefault="002D47FA" w:rsidP="002D47FA">
      <w:r>
        <w:t>Arī Deklarācijas par Artura Krišjāņa Kariņa vadītā Ministru kabineta iecerēto darbību</w:t>
      </w:r>
      <w:r>
        <w:rPr>
          <w:rStyle w:val="FootnoteReference"/>
        </w:rPr>
        <w:footnoteReference w:id="11"/>
      </w:r>
      <w:r>
        <w:t xml:space="preserve">  234.</w:t>
      </w:r>
      <w:r w:rsidR="00DC0298">
        <w:t xml:space="preserve"> </w:t>
      </w:r>
      <w:r>
        <w:t>punktā noteikts, ka, sadarbojoties ar pašvaldībām, kā arī īstenojot administratīvi teritoriālo reformu, tiks veidots demogrāfiskajai situācijai un citiem faktoriem atbilstošs racionāls skolu tīkls, ievērojot principu – sākumskola maksimāli tuvu izglītojamo dzīvesvietai, spēcīga pamatskola un vidusskola, kurā tiek nodrošināts kompetenču pieejai atbilstošs un kvalitatīvs mācību programmu piedāvājums.</w:t>
      </w:r>
    </w:p>
    <w:p w:rsidR="002D47FA" w:rsidRPr="002731D1" w:rsidRDefault="002D47FA" w:rsidP="00A46539">
      <w:pPr>
        <w:spacing w:after="0"/>
      </w:pPr>
      <w:r w:rsidRPr="002731D1">
        <w:t>Vispārējā izglītības iestāžu tīkla sakārtošana ir būtisks priekšnosacījums, lai:</w:t>
      </w:r>
    </w:p>
    <w:p w:rsidR="002D47FA" w:rsidRPr="002731D1" w:rsidRDefault="002D47FA" w:rsidP="00A46539">
      <w:pPr>
        <w:spacing w:after="0"/>
      </w:pPr>
      <w:r w:rsidRPr="002731D1">
        <w:t>–</w:t>
      </w:r>
      <w:r w:rsidR="00391CC6">
        <w:t> </w:t>
      </w:r>
      <w:r w:rsidRPr="002731D1">
        <w:t>sekmētu kvalitatīvas, izglītojamā spējas attīstošas izglītības pieejamību katram izglītojamajam;</w:t>
      </w:r>
    </w:p>
    <w:p w:rsidR="002D47FA" w:rsidRPr="002731D1" w:rsidRDefault="00391CC6" w:rsidP="00A46539">
      <w:pPr>
        <w:spacing w:after="0"/>
      </w:pPr>
      <w:r>
        <w:t>– </w:t>
      </w:r>
      <w:r w:rsidR="002D47FA" w:rsidRPr="002731D1">
        <w:t>nodrošinātu racionālu un efektīvu izglītības resursu izmantošanu, tādējādi veicinot iespēju izglītības iestādēs modernizēt mācību vidi, nodrošināt mācību satura apguvei nepieciešamo aprīkojumu, kā arī izglītības iestādes pedagogiem radīt konkurētspējīgu atalgojumu;</w:t>
      </w:r>
    </w:p>
    <w:p w:rsidR="002D47FA" w:rsidRPr="002731D1" w:rsidRDefault="002D47FA" w:rsidP="00A46539">
      <w:pPr>
        <w:spacing w:after="0"/>
      </w:pPr>
      <w:r w:rsidRPr="002731D1">
        <w:lastRenderedPageBreak/>
        <w:t>–</w:t>
      </w:r>
      <w:r w:rsidR="00391CC6">
        <w:t> </w:t>
      </w:r>
      <w:r w:rsidRPr="002731D1">
        <w:t>palielinātu atbalsta personāla un pakalpojumu pieejamību atbilstoši izglītojamo vajadzībām;</w:t>
      </w:r>
    </w:p>
    <w:p w:rsidR="00E96F20" w:rsidRDefault="00391CC6" w:rsidP="00A46539">
      <w:pPr>
        <w:spacing w:after="0"/>
      </w:pPr>
      <w:r>
        <w:t>– </w:t>
      </w:r>
      <w:r w:rsidR="002D47FA" w:rsidRPr="002731D1">
        <w:t>attīstītu metodisko darbu izglītības iestādē un pašvaldībā.</w:t>
      </w:r>
    </w:p>
    <w:p w:rsidR="00A46539" w:rsidRDefault="00A46539" w:rsidP="002731D1">
      <w:pPr>
        <w:spacing w:after="0"/>
        <w:jc w:val="right"/>
        <w:rPr>
          <w:highlight w:val="green"/>
        </w:rPr>
      </w:pPr>
    </w:p>
    <w:p w:rsidR="002731D1" w:rsidRDefault="00021CFD" w:rsidP="002731D1">
      <w:pPr>
        <w:spacing w:after="0"/>
        <w:jc w:val="right"/>
      </w:pPr>
      <w:r w:rsidRPr="00A21E09">
        <w:t>6</w:t>
      </w:r>
      <w:r w:rsidR="002731D1" w:rsidRPr="00A21E09">
        <w:t>.attēls</w:t>
      </w:r>
      <w:r w:rsidR="002731D1" w:rsidRPr="002731D1">
        <w:t>. Pašvaldības vispārizglītojošo skolu skaita izmaiņas.</w:t>
      </w:r>
    </w:p>
    <w:p w:rsidR="002731D1" w:rsidRPr="002731D1" w:rsidRDefault="002731D1" w:rsidP="002731D1">
      <w:pPr>
        <w:spacing w:after="0"/>
        <w:jc w:val="right"/>
      </w:pPr>
      <w:r w:rsidRPr="002731D1">
        <w:t xml:space="preserve"> Avots:</w:t>
      </w:r>
      <w:r w:rsidR="00391CC6">
        <w:t xml:space="preserve"> </w:t>
      </w:r>
      <w:r w:rsidRPr="002731D1">
        <w:t>IZM oficiālā statistika</w:t>
      </w:r>
    </w:p>
    <w:p w:rsidR="00E96F20" w:rsidRPr="00E96F20" w:rsidRDefault="00391CC6" w:rsidP="002731D1">
      <w:pPr>
        <w:ind w:firstLine="0"/>
        <w:jc w:val="left"/>
      </w:pPr>
      <w:r>
        <w:rPr>
          <w:noProof/>
          <w:lang w:val="en-US"/>
        </w:rPr>
        <w:drawing>
          <wp:inline distT="0" distB="0" distL="0" distR="0" wp14:anchorId="5F217F5E" wp14:editId="5BFF376C">
            <wp:extent cx="5971540" cy="2643505"/>
            <wp:effectExtent l="0" t="0" r="0" b="444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731D1" w:rsidRDefault="002731D1" w:rsidP="002731D1">
      <w:pPr>
        <w:spacing w:after="0"/>
      </w:pPr>
      <w:r>
        <w:t>Salīdzinājumā ar 2018./2019.m.g. skolu skaita izmaiņas uz 2021./2022.m.g.:</w:t>
      </w:r>
    </w:p>
    <w:p w:rsidR="002731D1" w:rsidRDefault="002731D1" w:rsidP="002731D1">
      <w:pPr>
        <w:spacing w:after="0"/>
        <w:ind w:firstLine="0"/>
      </w:pPr>
      <w:r>
        <w:t xml:space="preserve">– sākumskolu skaits samazinājies par </w:t>
      </w:r>
      <w:r w:rsidR="00391CC6">
        <w:t>9</w:t>
      </w:r>
      <w:r>
        <w:t>;</w:t>
      </w:r>
    </w:p>
    <w:p w:rsidR="002731D1" w:rsidRDefault="002731D1" w:rsidP="002731D1">
      <w:pPr>
        <w:spacing w:after="0"/>
        <w:ind w:firstLine="0"/>
      </w:pPr>
      <w:r>
        <w:t>– pamatskolu skaits samazinājies par 2</w:t>
      </w:r>
      <w:r w:rsidR="007179F6">
        <w:t>0</w:t>
      </w:r>
      <w:r w:rsidR="00391CC6">
        <w:t xml:space="preserve"> </w:t>
      </w:r>
      <w:r w:rsidR="007179F6">
        <w:t xml:space="preserve"> (</w:t>
      </w:r>
      <w:r w:rsidR="00391CC6">
        <w:t>2021./2022.mācību gadā skaita palielinājums skaidrojams ar to, ka Rīgā sešas vidusskol</w:t>
      </w:r>
      <w:r w:rsidR="007179F6">
        <w:t>as mainīja pakāpi uz pamatskolu);</w:t>
      </w:r>
    </w:p>
    <w:p w:rsidR="002731D1" w:rsidRDefault="002731D1" w:rsidP="002731D1">
      <w:pPr>
        <w:spacing w:after="0"/>
        <w:ind w:firstLine="0"/>
      </w:pPr>
      <w:r>
        <w:t>– vidusskolu skaits samazinājies par 2</w:t>
      </w:r>
      <w:r w:rsidR="00391CC6">
        <w:t>7</w:t>
      </w:r>
      <w:r>
        <w:t>.</w:t>
      </w:r>
    </w:p>
    <w:p w:rsidR="002731D1" w:rsidRDefault="002731D1" w:rsidP="00391CC6">
      <w:pPr>
        <w:spacing w:after="0"/>
      </w:pPr>
    </w:p>
    <w:p w:rsidR="002731D1" w:rsidRDefault="002731D1" w:rsidP="002731D1">
      <w:r>
        <w:t xml:space="preserve">Pašvaldību līdz šim īstenotās darbības, sakārtojot izglītības iestāžu tīklu </w:t>
      </w:r>
      <w:r w:rsidRPr="00A21E09">
        <w:t>(</w:t>
      </w:r>
      <w:r w:rsidR="00021CFD" w:rsidRPr="00A21E09">
        <w:t>6</w:t>
      </w:r>
      <w:r w:rsidRPr="00A21E09">
        <w:t>.attēls</w:t>
      </w:r>
      <w:r>
        <w:t xml:space="preserve">), nav ļāvušas  rast optimālu skolotāju skaita/izglītojamo skaita attiecību, kas savukārt ir cēlonis tam, ka piektdaļa pašvaldību skolu skolotāju strādā ar mazu darba slodzi (mazāk par 15 stundām nedēļā pat strādājot vairākās skolās) un saņem zemu atalgojumu. Tomēr jāņem vērā, ka izmaiņas izglītības iestāžu tīklā (izglītības iestādes reorganizācija vai likvidācija) nerada valsts mērķdotācijā "brīvu" finansējuma daļu, bet gan mērķdotācija kopā ar izglītojamiem pāriet uz citām skolām, kas savukārt rada iespēju skolās, kurās palielinās izglītojamo skaits, palielināt skolotāju darba samaksu. Piemēram:  2021./2022. mācību g. sākumā, 19 vidusskolām mainot izglītības pakāpi vai tiekot reorganizētām (pievienojot citai skolai), potenciālais mērķdotācijas apjoms, kas kopā ar izglītojamiem pāriet uz citām skolām, tiek lēsts 443 tūkst. </w:t>
      </w:r>
      <w:r w:rsidRPr="00D12F65">
        <w:rPr>
          <w:i/>
        </w:rPr>
        <w:t>euro</w:t>
      </w:r>
      <w:r>
        <w:t xml:space="preserve"> apjomā.</w:t>
      </w:r>
    </w:p>
    <w:p w:rsidR="00147628" w:rsidRDefault="00147628" w:rsidP="00147628">
      <w:pPr>
        <w:pStyle w:val="Heading2"/>
        <w:rPr>
          <w:sz w:val="28"/>
          <w:szCs w:val="28"/>
        </w:rPr>
      </w:pPr>
      <w:bookmarkStart w:id="4" w:name="_Toc81299618"/>
      <w:r>
        <w:rPr>
          <w:sz w:val="28"/>
          <w:szCs w:val="28"/>
        </w:rPr>
        <w:t>1</w:t>
      </w:r>
      <w:r w:rsidRPr="004B1BFC">
        <w:rPr>
          <w:sz w:val="28"/>
          <w:szCs w:val="28"/>
        </w:rPr>
        <w:t>.</w:t>
      </w:r>
      <w:r>
        <w:rPr>
          <w:sz w:val="28"/>
          <w:szCs w:val="28"/>
        </w:rPr>
        <w:t>3</w:t>
      </w:r>
      <w:r w:rsidRPr="004B1BFC">
        <w:rPr>
          <w:sz w:val="28"/>
          <w:szCs w:val="28"/>
        </w:rPr>
        <w:t>. </w:t>
      </w:r>
      <w:r w:rsidR="00383C7F">
        <w:rPr>
          <w:sz w:val="28"/>
          <w:szCs w:val="28"/>
        </w:rPr>
        <w:t xml:space="preserve">Pedagogu atalgojums un </w:t>
      </w:r>
      <w:r>
        <w:rPr>
          <w:sz w:val="28"/>
          <w:szCs w:val="28"/>
        </w:rPr>
        <w:t>darba slodze</w:t>
      </w:r>
      <w:r w:rsidR="00F376BE">
        <w:rPr>
          <w:sz w:val="28"/>
          <w:szCs w:val="28"/>
        </w:rPr>
        <w:t xml:space="preserve"> </w:t>
      </w:r>
      <w:r>
        <w:rPr>
          <w:sz w:val="28"/>
          <w:szCs w:val="28"/>
        </w:rPr>
        <w:t>Igaunijā un Lietuvā</w:t>
      </w:r>
      <w:bookmarkEnd w:id="4"/>
    </w:p>
    <w:p w:rsidR="00147628" w:rsidRDefault="00147628" w:rsidP="00852DAE">
      <w:r>
        <w:t xml:space="preserve">Latvijas kaimiņvalstis – Igaunija un Lietuva, katru gadu palielinot valsts finansējumu pedagogu darba samaksai, kā arī mērķtiecīgi veicot pasākumus skolu tīkla pilnveidei, </w:t>
      </w:r>
      <w:r w:rsidR="00852DAE">
        <w:t xml:space="preserve">pēdējos gados nodrošinājušas būtisku pedagogu zemākās darba algas likmes un līdz ar to pedagogu atalgojuma kāpumu. </w:t>
      </w:r>
      <w:r>
        <w:t>Lietuvā un Igaunijā ir atšķirīga</w:t>
      </w:r>
      <w:r w:rsidR="00852DAE">
        <w:t xml:space="preserve"> pedagoga</w:t>
      </w:r>
      <w:r>
        <w:t xml:space="preserve"> nedēļas darba slodze, kas atbilst </w:t>
      </w:r>
      <w:r>
        <w:lastRenderedPageBreak/>
        <w:t>mēneša darba algas likmei</w:t>
      </w:r>
      <w:r w:rsidR="00852DAE">
        <w:t xml:space="preserve">, tāpēc salīdzinājumam ir aprēķināta Latvijas zemākā algas likme, kas ekvivalenta attiecīgi Igaunijas un Lietuvas pedagogu nedēļas darba slodzei </w:t>
      </w:r>
      <w:r w:rsidR="00852DAE" w:rsidRPr="00A21E09">
        <w:t>(</w:t>
      </w:r>
      <w:r w:rsidR="00A46539" w:rsidRPr="00A21E09">
        <w:t>3</w:t>
      </w:r>
      <w:r w:rsidR="00A561BE" w:rsidRPr="00A21E09">
        <w:t>.tabula</w:t>
      </w:r>
      <w:r w:rsidR="00852DAE">
        <w:t>).</w:t>
      </w:r>
    </w:p>
    <w:p w:rsidR="00A45217" w:rsidRDefault="00A46539" w:rsidP="00A45217">
      <w:pPr>
        <w:spacing w:after="0"/>
        <w:jc w:val="right"/>
      </w:pPr>
      <w:r w:rsidRPr="00A21E09">
        <w:t>3</w:t>
      </w:r>
      <w:r w:rsidR="00A45217" w:rsidRPr="00A21E09">
        <w:t>.tabula:</w:t>
      </w:r>
      <w:r w:rsidR="00A45217">
        <w:t xml:space="preserve"> Latvijas, Lietuvas un Igaunijas</w:t>
      </w:r>
    </w:p>
    <w:p w:rsidR="00A45217" w:rsidRDefault="00A45217" w:rsidP="00A45217">
      <w:pPr>
        <w:spacing w:after="0"/>
        <w:jc w:val="right"/>
      </w:pPr>
      <w:r>
        <w:t xml:space="preserve"> pedagogu zemākās algas likmes salīdzinājums 2020./2020.m.g.</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3"/>
        <w:gridCol w:w="2014"/>
        <w:gridCol w:w="1890"/>
        <w:gridCol w:w="1993"/>
      </w:tblGrid>
      <w:tr w:rsidR="00147628" w:rsidRPr="00C30E54" w:rsidTr="005F314E">
        <w:trPr>
          <w:trHeight w:val="946"/>
        </w:trPr>
        <w:tc>
          <w:tcPr>
            <w:tcW w:w="3493" w:type="dxa"/>
            <w:shd w:val="clear" w:color="auto" w:fill="auto"/>
            <w:noWrap/>
            <w:vAlign w:val="bottom"/>
            <w:hideMark/>
          </w:tcPr>
          <w:p w:rsidR="00147628" w:rsidRPr="00C30E54" w:rsidRDefault="00147628" w:rsidP="00E64E05">
            <w:pPr>
              <w:spacing w:after="0" w:line="240" w:lineRule="auto"/>
              <w:ind w:firstLine="0"/>
              <w:jc w:val="left"/>
              <w:rPr>
                <w:rFonts w:eastAsia="Times New Roman" w:cs="Times New Roman"/>
                <w:sz w:val="20"/>
                <w:szCs w:val="24"/>
              </w:rPr>
            </w:pPr>
          </w:p>
        </w:tc>
        <w:tc>
          <w:tcPr>
            <w:tcW w:w="2014" w:type="dxa"/>
            <w:shd w:val="clear" w:color="auto" w:fill="auto"/>
            <w:vAlign w:val="bottom"/>
            <w:hideMark/>
          </w:tcPr>
          <w:p w:rsidR="00147628" w:rsidRPr="00C30E54" w:rsidRDefault="00147628" w:rsidP="00E64E05">
            <w:pPr>
              <w:spacing w:after="0" w:line="240" w:lineRule="auto"/>
              <w:ind w:firstLine="0"/>
              <w:jc w:val="center"/>
              <w:rPr>
                <w:rFonts w:eastAsia="Times New Roman" w:cs="Times New Roman"/>
                <w:color w:val="000000"/>
                <w:szCs w:val="24"/>
              </w:rPr>
            </w:pPr>
            <w:r w:rsidRPr="00C30E54">
              <w:rPr>
                <w:rFonts w:eastAsia="Times New Roman" w:cs="Times New Roman"/>
                <w:color w:val="000000"/>
                <w:szCs w:val="24"/>
              </w:rPr>
              <w:t>Latvijā pedagoga darba slodze nedēļā 30 stundas</w:t>
            </w:r>
          </w:p>
        </w:tc>
        <w:tc>
          <w:tcPr>
            <w:tcW w:w="1890" w:type="dxa"/>
            <w:shd w:val="clear" w:color="auto" w:fill="auto"/>
            <w:vAlign w:val="bottom"/>
            <w:hideMark/>
          </w:tcPr>
          <w:p w:rsidR="00147628" w:rsidRPr="00C30E54" w:rsidRDefault="00147628" w:rsidP="00E64E05">
            <w:pPr>
              <w:spacing w:after="0" w:line="240" w:lineRule="auto"/>
              <w:ind w:firstLine="0"/>
              <w:jc w:val="center"/>
              <w:rPr>
                <w:rFonts w:eastAsia="Times New Roman" w:cs="Times New Roman"/>
                <w:color w:val="000000"/>
                <w:szCs w:val="24"/>
              </w:rPr>
            </w:pPr>
            <w:r w:rsidRPr="00C30E54">
              <w:rPr>
                <w:rFonts w:eastAsia="Times New Roman" w:cs="Times New Roman"/>
                <w:color w:val="000000"/>
                <w:szCs w:val="24"/>
              </w:rPr>
              <w:t>Igaunijā pedagoga darba sodze nedēļā 35 stundas</w:t>
            </w:r>
          </w:p>
        </w:tc>
        <w:tc>
          <w:tcPr>
            <w:tcW w:w="1993" w:type="dxa"/>
            <w:shd w:val="clear" w:color="auto" w:fill="auto"/>
            <w:vAlign w:val="bottom"/>
            <w:hideMark/>
          </w:tcPr>
          <w:p w:rsidR="00147628" w:rsidRPr="00C30E54" w:rsidRDefault="00147628" w:rsidP="00E64E05">
            <w:pPr>
              <w:spacing w:after="0" w:line="240" w:lineRule="auto"/>
              <w:ind w:firstLine="0"/>
              <w:jc w:val="center"/>
              <w:rPr>
                <w:rFonts w:eastAsia="Times New Roman" w:cs="Times New Roman"/>
                <w:color w:val="000000"/>
                <w:szCs w:val="24"/>
              </w:rPr>
            </w:pPr>
            <w:r w:rsidRPr="00C30E54">
              <w:rPr>
                <w:rFonts w:eastAsia="Times New Roman" w:cs="Times New Roman"/>
                <w:color w:val="000000"/>
                <w:szCs w:val="24"/>
              </w:rPr>
              <w:t>Lietuvā pedagoga darba sodze nedēļā 36 stundas</w:t>
            </w:r>
          </w:p>
        </w:tc>
      </w:tr>
      <w:tr w:rsidR="00147628" w:rsidRPr="00C30E54" w:rsidTr="005F314E">
        <w:trPr>
          <w:trHeight w:val="643"/>
        </w:trPr>
        <w:tc>
          <w:tcPr>
            <w:tcW w:w="3493" w:type="dxa"/>
            <w:shd w:val="clear" w:color="auto" w:fill="auto"/>
            <w:vAlign w:val="bottom"/>
            <w:hideMark/>
          </w:tcPr>
          <w:p w:rsidR="00147628" w:rsidRPr="00C30E54" w:rsidRDefault="00147628" w:rsidP="00E64E05">
            <w:pPr>
              <w:spacing w:after="0" w:line="240" w:lineRule="auto"/>
              <w:ind w:firstLine="0"/>
              <w:jc w:val="left"/>
              <w:rPr>
                <w:rFonts w:eastAsia="Times New Roman" w:cs="Times New Roman"/>
                <w:color w:val="000000"/>
                <w:szCs w:val="24"/>
              </w:rPr>
            </w:pPr>
            <w:r>
              <w:rPr>
                <w:rFonts w:eastAsia="Times New Roman" w:cs="Times New Roman"/>
                <w:color w:val="000000"/>
                <w:szCs w:val="24"/>
              </w:rPr>
              <w:t>Zemākā pedagoga</w:t>
            </w:r>
            <w:r w:rsidRPr="00C30E54">
              <w:rPr>
                <w:rFonts w:eastAsia="Times New Roman" w:cs="Times New Roman"/>
                <w:color w:val="000000"/>
                <w:szCs w:val="24"/>
              </w:rPr>
              <w:t xml:space="preserve"> algas likme Latvijā no 01.09.2020.,</w:t>
            </w:r>
            <w:r w:rsidRPr="00C30E54">
              <w:rPr>
                <w:rFonts w:eastAsia="Times New Roman" w:cs="Times New Roman"/>
                <w:b/>
                <w:bCs/>
                <w:i/>
                <w:iCs/>
                <w:color w:val="000000"/>
                <w:szCs w:val="24"/>
              </w:rPr>
              <w:t xml:space="preserve"> euro</w:t>
            </w:r>
          </w:p>
        </w:tc>
        <w:tc>
          <w:tcPr>
            <w:tcW w:w="2014"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r w:rsidRPr="00C30E54">
              <w:rPr>
                <w:rFonts w:eastAsia="Times New Roman" w:cs="Times New Roman"/>
                <w:color w:val="000000"/>
                <w:szCs w:val="24"/>
              </w:rPr>
              <w:t>790</w:t>
            </w:r>
          </w:p>
        </w:tc>
        <w:tc>
          <w:tcPr>
            <w:tcW w:w="1890"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c>
          <w:tcPr>
            <w:tcW w:w="1993"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sz w:val="20"/>
                <w:szCs w:val="20"/>
              </w:rPr>
            </w:pPr>
          </w:p>
        </w:tc>
      </w:tr>
      <w:tr w:rsidR="00147628" w:rsidRPr="00C30E54" w:rsidTr="005F314E">
        <w:trPr>
          <w:trHeight w:val="643"/>
        </w:trPr>
        <w:tc>
          <w:tcPr>
            <w:tcW w:w="3493" w:type="dxa"/>
            <w:shd w:val="clear" w:color="auto" w:fill="auto"/>
            <w:vAlign w:val="bottom"/>
            <w:hideMark/>
          </w:tcPr>
          <w:p w:rsidR="00147628" w:rsidRPr="00C30E54" w:rsidRDefault="00147628" w:rsidP="00E64E05">
            <w:pPr>
              <w:spacing w:after="0" w:line="240" w:lineRule="auto"/>
              <w:ind w:firstLine="0"/>
              <w:jc w:val="left"/>
              <w:rPr>
                <w:rFonts w:eastAsia="Times New Roman" w:cs="Times New Roman"/>
                <w:color w:val="000000"/>
                <w:szCs w:val="24"/>
              </w:rPr>
            </w:pPr>
            <w:r w:rsidRPr="00C30E54">
              <w:rPr>
                <w:rFonts w:eastAsia="Times New Roman" w:cs="Times New Roman"/>
                <w:color w:val="000000"/>
                <w:szCs w:val="24"/>
              </w:rPr>
              <w:t xml:space="preserve">Zemākā pedagoga algas likme </w:t>
            </w:r>
            <w:r w:rsidRPr="00C30E54">
              <w:rPr>
                <w:rFonts w:eastAsia="Times New Roman" w:cs="Times New Roman"/>
                <w:b/>
                <w:color w:val="000000"/>
                <w:szCs w:val="24"/>
              </w:rPr>
              <w:t>Igaunijā</w:t>
            </w:r>
            <w:r w:rsidRPr="00C30E54">
              <w:rPr>
                <w:rFonts w:eastAsia="Times New Roman" w:cs="Times New Roman"/>
                <w:color w:val="000000"/>
                <w:szCs w:val="24"/>
              </w:rPr>
              <w:t xml:space="preserve"> no 01.01.2021.,</w:t>
            </w:r>
            <w:r w:rsidRPr="00C30E54">
              <w:rPr>
                <w:rFonts w:eastAsia="Times New Roman" w:cs="Times New Roman"/>
                <w:b/>
                <w:bCs/>
                <w:i/>
                <w:iCs/>
                <w:color w:val="000000"/>
                <w:szCs w:val="24"/>
              </w:rPr>
              <w:t xml:space="preserve"> euro</w:t>
            </w:r>
          </w:p>
        </w:tc>
        <w:tc>
          <w:tcPr>
            <w:tcW w:w="2014"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c>
          <w:tcPr>
            <w:tcW w:w="1890"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r w:rsidRPr="00C30E54">
              <w:rPr>
                <w:rFonts w:eastAsia="Times New Roman" w:cs="Times New Roman"/>
                <w:color w:val="000000"/>
                <w:szCs w:val="24"/>
              </w:rPr>
              <w:t>1</w:t>
            </w:r>
            <w:r w:rsidR="007A78A9">
              <w:rPr>
                <w:rFonts w:eastAsia="Times New Roman" w:cs="Times New Roman"/>
                <w:color w:val="000000"/>
                <w:szCs w:val="24"/>
              </w:rPr>
              <w:t xml:space="preserve"> </w:t>
            </w:r>
            <w:r w:rsidRPr="00C30E54">
              <w:rPr>
                <w:rFonts w:eastAsia="Times New Roman" w:cs="Times New Roman"/>
                <w:color w:val="000000"/>
                <w:szCs w:val="24"/>
              </w:rPr>
              <w:t>127</w:t>
            </w:r>
          </w:p>
        </w:tc>
        <w:tc>
          <w:tcPr>
            <w:tcW w:w="1993"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r>
      <w:tr w:rsidR="00147628" w:rsidRPr="00C30E54" w:rsidTr="005F314E">
        <w:trPr>
          <w:trHeight w:val="631"/>
        </w:trPr>
        <w:tc>
          <w:tcPr>
            <w:tcW w:w="3493" w:type="dxa"/>
            <w:shd w:val="clear" w:color="auto" w:fill="auto"/>
            <w:vAlign w:val="bottom"/>
            <w:hideMark/>
          </w:tcPr>
          <w:p w:rsidR="00147628" w:rsidRPr="00C30E54" w:rsidRDefault="00147628" w:rsidP="00E64E05">
            <w:pPr>
              <w:spacing w:after="0" w:line="240" w:lineRule="auto"/>
              <w:ind w:firstLine="0"/>
              <w:jc w:val="right"/>
              <w:rPr>
                <w:rFonts w:eastAsia="Times New Roman" w:cs="Times New Roman"/>
                <w:color w:val="000000"/>
                <w:szCs w:val="24"/>
              </w:rPr>
            </w:pPr>
            <w:r w:rsidRPr="00C30E54">
              <w:rPr>
                <w:rFonts w:eastAsia="Times New Roman" w:cs="Times New Roman"/>
                <w:color w:val="000000"/>
                <w:szCs w:val="24"/>
              </w:rPr>
              <w:t>Latvijas ekvivalentā algas likme Igaunijai</w:t>
            </w:r>
          </w:p>
        </w:tc>
        <w:tc>
          <w:tcPr>
            <w:tcW w:w="2014"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c>
          <w:tcPr>
            <w:tcW w:w="1890"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r w:rsidRPr="00C30E54">
              <w:rPr>
                <w:rFonts w:eastAsia="Times New Roman" w:cs="Times New Roman"/>
                <w:color w:val="000000"/>
                <w:szCs w:val="24"/>
              </w:rPr>
              <w:t>922</w:t>
            </w:r>
          </w:p>
        </w:tc>
        <w:tc>
          <w:tcPr>
            <w:tcW w:w="1993"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r>
      <w:tr w:rsidR="00147628" w:rsidRPr="00C30E54" w:rsidTr="005F314E">
        <w:trPr>
          <w:trHeight w:val="643"/>
        </w:trPr>
        <w:tc>
          <w:tcPr>
            <w:tcW w:w="3493" w:type="dxa"/>
            <w:shd w:val="clear" w:color="auto" w:fill="auto"/>
            <w:vAlign w:val="bottom"/>
            <w:hideMark/>
          </w:tcPr>
          <w:p w:rsidR="00147628" w:rsidRPr="00C30E54" w:rsidRDefault="00147628" w:rsidP="00E64E05">
            <w:pPr>
              <w:spacing w:after="0" w:line="240" w:lineRule="auto"/>
              <w:ind w:firstLine="0"/>
              <w:jc w:val="left"/>
              <w:rPr>
                <w:rFonts w:eastAsia="Times New Roman" w:cs="Times New Roman"/>
                <w:color w:val="000000"/>
                <w:szCs w:val="24"/>
              </w:rPr>
            </w:pPr>
            <w:r w:rsidRPr="00C30E54">
              <w:rPr>
                <w:rFonts w:eastAsia="Times New Roman" w:cs="Times New Roman"/>
                <w:color w:val="000000"/>
                <w:szCs w:val="24"/>
              </w:rPr>
              <w:t xml:space="preserve">Zemākā pedagoga algas likme </w:t>
            </w:r>
            <w:r w:rsidRPr="00C30E54">
              <w:rPr>
                <w:rFonts w:eastAsia="Times New Roman" w:cs="Times New Roman"/>
                <w:b/>
                <w:color w:val="000000"/>
                <w:szCs w:val="24"/>
              </w:rPr>
              <w:t>Lietuvā</w:t>
            </w:r>
            <w:r w:rsidRPr="00C30E54">
              <w:rPr>
                <w:rFonts w:eastAsia="Times New Roman" w:cs="Times New Roman"/>
                <w:color w:val="000000"/>
                <w:szCs w:val="24"/>
              </w:rPr>
              <w:t xml:space="preserve"> no 01.01.2020., </w:t>
            </w:r>
            <w:r w:rsidRPr="00C30E54">
              <w:rPr>
                <w:rFonts w:eastAsia="Times New Roman" w:cs="Times New Roman"/>
                <w:b/>
                <w:bCs/>
                <w:i/>
                <w:iCs/>
                <w:color w:val="000000"/>
                <w:szCs w:val="24"/>
              </w:rPr>
              <w:t>euro</w:t>
            </w:r>
          </w:p>
        </w:tc>
        <w:tc>
          <w:tcPr>
            <w:tcW w:w="2014"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c>
          <w:tcPr>
            <w:tcW w:w="1890"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sz w:val="20"/>
                <w:szCs w:val="20"/>
              </w:rPr>
            </w:pPr>
          </w:p>
        </w:tc>
        <w:tc>
          <w:tcPr>
            <w:tcW w:w="1993"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szCs w:val="24"/>
              </w:rPr>
            </w:pPr>
            <w:r w:rsidRPr="00C30E54">
              <w:rPr>
                <w:rFonts w:eastAsia="Times New Roman" w:cs="Times New Roman"/>
                <w:szCs w:val="24"/>
              </w:rPr>
              <w:t>1</w:t>
            </w:r>
            <w:r w:rsidR="007A78A9">
              <w:rPr>
                <w:rFonts w:eastAsia="Times New Roman" w:cs="Times New Roman"/>
                <w:szCs w:val="24"/>
              </w:rPr>
              <w:t xml:space="preserve"> </w:t>
            </w:r>
            <w:r w:rsidRPr="00C30E54">
              <w:rPr>
                <w:rFonts w:eastAsia="Times New Roman" w:cs="Times New Roman"/>
                <w:szCs w:val="24"/>
              </w:rPr>
              <w:t>013</w:t>
            </w:r>
          </w:p>
        </w:tc>
      </w:tr>
      <w:tr w:rsidR="00147628" w:rsidRPr="00C30E54" w:rsidTr="005F314E">
        <w:trPr>
          <w:trHeight w:val="631"/>
        </w:trPr>
        <w:tc>
          <w:tcPr>
            <w:tcW w:w="3493" w:type="dxa"/>
            <w:shd w:val="clear" w:color="auto" w:fill="auto"/>
            <w:vAlign w:val="bottom"/>
            <w:hideMark/>
          </w:tcPr>
          <w:p w:rsidR="00147628" w:rsidRPr="00C30E54" w:rsidRDefault="00147628" w:rsidP="00E64E05">
            <w:pPr>
              <w:spacing w:after="0" w:line="240" w:lineRule="auto"/>
              <w:ind w:firstLine="0"/>
              <w:jc w:val="right"/>
              <w:rPr>
                <w:rFonts w:eastAsia="Times New Roman" w:cs="Times New Roman"/>
                <w:color w:val="000000"/>
                <w:szCs w:val="24"/>
              </w:rPr>
            </w:pPr>
            <w:r w:rsidRPr="00C30E54">
              <w:rPr>
                <w:rFonts w:eastAsia="Times New Roman" w:cs="Times New Roman"/>
                <w:color w:val="000000"/>
                <w:szCs w:val="24"/>
              </w:rPr>
              <w:t>Latvijas ekvivalentā algas likme Lietuvai</w:t>
            </w:r>
          </w:p>
        </w:tc>
        <w:tc>
          <w:tcPr>
            <w:tcW w:w="2014"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p>
        </w:tc>
        <w:tc>
          <w:tcPr>
            <w:tcW w:w="1890"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sz w:val="20"/>
                <w:szCs w:val="20"/>
              </w:rPr>
            </w:pPr>
          </w:p>
        </w:tc>
        <w:tc>
          <w:tcPr>
            <w:tcW w:w="1993" w:type="dxa"/>
            <w:shd w:val="clear" w:color="auto" w:fill="auto"/>
            <w:noWrap/>
            <w:vAlign w:val="center"/>
            <w:hideMark/>
          </w:tcPr>
          <w:p w:rsidR="00147628" w:rsidRPr="00C30E54" w:rsidRDefault="00147628" w:rsidP="00D12F65">
            <w:pPr>
              <w:spacing w:after="0" w:line="240" w:lineRule="auto"/>
              <w:ind w:firstLine="0"/>
              <w:jc w:val="right"/>
              <w:rPr>
                <w:rFonts w:eastAsia="Times New Roman" w:cs="Times New Roman"/>
                <w:color w:val="000000"/>
                <w:szCs w:val="24"/>
              </w:rPr>
            </w:pPr>
            <w:r w:rsidRPr="00C30E54">
              <w:rPr>
                <w:rFonts w:eastAsia="Times New Roman" w:cs="Times New Roman"/>
                <w:color w:val="000000"/>
                <w:szCs w:val="24"/>
              </w:rPr>
              <w:t>948</w:t>
            </w:r>
          </w:p>
        </w:tc>
      </w:tr>
    </w:tbl>
    <w:p w:rsidR="00A561BE" w:rsidRDefault="00A561BE" w:rsidP="00852DAE">
      <w:pPr>
        <w:rPr>
          <w:b/>
          <w:szCs w:val="24"/>
        </w:rPr>
      </w:pPr>
    </w:p>
    <w:p w:rsidR="00852DAE" w:rsidRPr="00852DAE" w:rsidRDefault="00852DAE" w:rsidP="00852DAE">
      <w:pPr>
        <w:rPr>
          <w:b/>
          <w:szCs w:val="24"/>
        </w:rPr>
      </w:pPr>
      <w:r w:rsidRPr="00852DAE">
        <w:rPr>
          <w:b/>
          <w:szCs w:val="24"/>
        </w:rPr>
        <w:t>Skolotāju darba slodze Igaunijā</w:t>
      </w:r>
    </w:p>
    <w:p w:rsidR="00852DAE" w:rsidRPr="00852DAE" w:rsidRDefault="00852DAE" w:rsidP="00852DAE">
      <w:pPr>
        <w:rPr>
          <w:szCs w:val="24"/>
        </w:rPr>
      </w:pPr>
      <w:r w:rsidRPr="00852DAE">
        <w:rPr>
          <w:szCs w:val="24"/>
        </w:rPr>
        <w:t>Visiem skolotājiem slodze, kas atbilst algas likmei, ir 35 stundas nedēļā. Kopš 2014. gada nevienā valsts līmeņa likumdošanas aktā nav noteikts skolotāju mācību stundu vai nodarbību skaits skol</w:t>
      </w:r>
      <w:r w:rsidR="00DC0298">
        <w:rPr>
          <w:szCs w:val="24"/>
        </w:rPr>
        <w:t xml:space="preserve">otāja slodzē. Skolas vadītājs </w:t>
      </w:r>
      <w:r w:rsidRPr="00852DAE">
        <w:rPr>
          <w:szCs w:val="24"/>
        </w:rPr>
        <w:t xml:space="preserve">nosaka skolas atalgojuma principus, kas tiek saskaņoti ar skolas dibinātāju (pašvaldība pašvaldības skolām). Tā kā skolotāja darba saturs var ievērojami atšķirties un katra skolotāja amata pienākumi ir nedaudz unikāla, valsts līmenī nav noteikts, kā būtu jāsadala slodze - tas ir darba līguma jautājums starp skolotāju un skolas vadību. </w:t>
      </w:r>
    </w:p>
    <w:p w:rsidR="00852DAE" w:rsidRPr="00852DAE" w:rsidRDefault="00852DAE" w:rsidP="00852DAE">
      <w:pPr>
        <w:rPr>
          <w:b/>
          <w:szCs w:val="24"/>
        </w:rPr>
      </w:pPr>
      <w:r w:rsidRPr="00852DAE">
        <w:rPr>
          <w:b/>
          <w:szCs w:val="24"/>
        </w:rPr>
        <w:t>Skolotāju darba slodze Lietuvā</w:t>
      </w:r>
    </w:p>
    <w:p w:rsidR="00852DAE" w:rsidRDefault="00852DAE" w:rsidP="00852DAE">
      <w:pPr>
        <w:rPr>
          <w:szCs w:val="24"/>
        </w:rPr>
      </w:pPr>
      <w:r w:rsidRPr="00852DAE">
        <w:rPr>
          <w:szCs w:val="24"/>
        </w:rPr>
        <w:t>Skolotāja slodze, kas atbilst algas likmei, ir 36 stundas nedēļā. Savukārt skolotāju, kuri īsteno vispārējās izglītības, profesionālās izglītības un neformālās izglītības programmas,  darba slodzes struktūra tiek noteikta gadam, t.i. kopējais darba stundu skaits gadā, kas atbilst algas likmei, ir 1512 stundas (darba slodze, kas attiecas uz 42 nedēļām gadā). Attiecīgi no minētā stundu skaita valsts līmeņa likumdošanas akts nosaka apmaksāto darba stundu skaitu citiem pienākumiem, kas ietver arī apmaksātu darba laiku skolēnu brīvdienās un jūnija mēnesī</w:t>
      </w:r>
      <w:r w:rsidRPr="00852DAE">
        <w:rPr>
          <w:szCs w:val="24"/>
          <w:vertAlign w:val="superscript"/>
        </w:rPr>
        <w:footnoteReference w:id="12"/>
      </w:r>
      <w:r w:rsidRPr="00852DAE">
        <w:rPr>
          <w:szCs w:val="24"/>
        </w:rPr>
        <w:t>.</w:t>
      </w:r>
    </w:p>
    <w:p w:rsidR="00B504EB" w:rsidRDefault="00B504EB" w:rsidP="00852DAE">
      <w:pPr>
        <w:rPr>
          <w:szCs w:val="24"/>
        </w:rPr>
      </w:pPr>
      <w:r>
        <w:rPr>
          <w:szCs w:val="24"/>
        </w:rPr>
        <w:t>Arī valsts finansējuma pedagogu darba samaksai aprēķinam tiek izmantoti atšķirīgi modeļi:</w:t>
      </w:r>
    </w:p>
    <w:p w:rsidR="00B504EB" w:rsidRDefault="00B504EB" w:rsidP="00A0536E">
      <w:pPr>
        <w:pStyle w:val="ListParagraph"/>
        <w:numPr>
          <w:ilvl w:val="0"/>
          <w:numId w:val="9"/>
        </w:numPr>
        <w:rPr>
          <w:szCs w:val="24"/>
        </w:rPr>
      </w:pPr>
      <w:r>
        <w:rPr>
          <w:szCs w:val="24"/>
        </w:rPr>
        <w:lastRenderedPageBreak/>
        <w:t xml:space="preserve">Igaunijā </w:t>
      </w:r>
      <w:r w:rsidRPr="00B504EB">
        <w:rPr>
          <w:szCs w:val="24"/>
        </w:rPr>
        <w:t>valdība piešķir finansējumu pašvaldībām, pamatojoties uz form</w:t>
      </w:r>
      <w:r w:rsidR="008C0CEC">
        <w:rPr>
          <w:szCs w:val="24"/>
        </w:rPr>
        <w:t>ulu, kas galvenokārt ir atkarīga</w:t>
      </w:r>
      <w:r w:rsidRPr="00B504EB">
        <w:rPr>
          <w:szCs w:val="24"/>
        </w:rPr>
        <w:t xml:space="preserve"> no </w:t>
      </w:r>
      <w:r>
        <w:rPr>
          <w:szCs w:val="24"/>
        </w:rPr>
        <w:t>izglītojamo</w:t>
      </w:r>
      <w:r w:rsidRPr="00B504EB">
        <w:rPr>
          <w:szCs w:val="24"/>
        </w:rPr>
        <w:t xml:space="preserve"> skaita pašvaldībām piederošās skolās</w:t>
      </w:r>
      <w:r>
        <w:rPr>
          <w:szCs w:val="24"/>
        </w:rPr>
        <w:t xml:space="preserve"> un valsts noteikto finansējumu pedagogu darba samaksai vienam izgl</w:t>
      </w:r>
      <w:r w:rsidR="008C0CEC">
        <w:rPr>
          <w:szCs w:val="24"/>
        </w:rPr>
        <w:t>ītojamam</w:t>
      </w:r>
      <w:r>
        <w:rPr>
          <w:szCs w:val="24"/>
        </w:rPr>
        <w:t>.</w:t>
      </w:r>
      <w:r w:rsidR="008C0CEC">
        <w:rPr>
          <w:szCs w:val="24"/>
        </w:rPr>
        <w:t xml:space="preserve"> Savukārt pašvaldība, ņemot vērā normatīvos noteikto pedagogu algas likmi un darba slodzi nedēļā, sadala valsts dotāciju skolām.</w:t>
      </w:r>
    </w:p>
    <w:p w:rsidR="008C0CEC" w:rsidRDefault="008C0CEC" w:rsidP="00A0536E">
      <w:pPr>
        <w:pStyle w:val="ListParagraph"/>
        <w:numPr>
          <w:ilvl w:val="0"/>
          <w:numId w:val="9"/>
        </w:numPr>
        <w:rPr>
          <w:szCs w:val="24"/>
        </w:rPr>
      </w:pPr>
      <w:r>
        <w:rPr>
          <w:szCs w:val="24"/>
        </w:rPr>
        <w:t>Lietuvā valsts finansējumu aprēķina katrai skolai mācību plāna īsteonošanai, ņemot vērā optimālai klasei aprēķinātās skolotāju darba slodzes. Finansējumu saņem pašvaldība, kas tālāk sadala mācību plāna finansējumu skolām atbilstoši valsts aprēķinam.</w:t>
      </w:r>
    </w:p>
    <w:p w:rsidR="00F376BE" w:rsidRDefault="00383C7F" w:rsidP="00F376BE">
      <w:pPr>
        <w:rPr>
          <w:szCs w:val="24"/>
        </w:rPr>
      </w:pPr>
      <w:r w:rsidRPr="00383C7F">
        <w:rPr>
          <w:szCs w:val="24"/>
        </w:rPr>
        <w:t>Lai nodrošinātu stabilu pedagogu darba samaksas pieaugumu, būtiska nozīme ir arī</w:t>
      </w:r>
      <w:r>
        <w:rPr>
          <w:b/>
          <w:szCs w:val="24"/>
        </w:rPr>
        <w:t xml:space="preserve"> </w:t>
      </w:r>
      <w:r>
        <w:rPr>
          <w:szCs w:val="24"/>
        </w:rPr>
        <w:t xml:space="preserve">valsts un pašvaldību mērķētām darbībām, veidojot optimālu skolu tīklu. </w:t>
      </w:r>
      <w:r w:rsidR="000B2A26">
        <w:rPr>
          <w:szCs w:val="24"/>
        </w:rPr>
        <w:t>Igaunijā d</w:t>
      </w:r>
      <w:r w:rsidR="000B2A26" w:rsidRPr="000B2A26">
        <w:rPr>
          <w:szCs w:val="24"/>
        </w:rPr>
        <w:t>e</w:t>
      </w:r>
      <w:r w:rsidR="000B2A26">
        <w:rPr>
          <w:szCs w:val="24"/>
        </w:rPr>
        <w:t>mogrāfija ir viens no iemesliem, kādēļ</w:t>
      </w:r>
      <w:r w:rsidR="000B2A26" w:rsidRPr="000B2A26">
        <w:rPr>
          <w:szCs w:val="24"/>
        </w:rPr>
        <w:t xml:space="preserve"> pieaugošais mazo skolu skaits bija un ir </w:t>
      </w:r>
      <w:r w:rsidR="000B2A26">
        <w:rPr>
          <w:szCs w:val="24"/>
        </w:rPr>
        <w:t xml:space="preserve">pašvaldības skolu </w:t>
      </w:r>
      <w:r w:rsidR="000B2A26" w:rsidRPr="000B2A26">
        <w:rPr>
          <w:szCs w:val="24"/>
        </w:rPr>
        <w:t xml:space="preserve">konsolidācijas iemesls. </w:t>
      </w:r>
      <w:r w:rsidR="00F376BE" w:rsidRPr="00F376BE">
        <w:rPr>
          <w:szCs w:val="24"/>
        </w:rPr>
        <w:t xml:space="preserve">Sākot ar </w:t>
      </w:r>
      <w:r w:rsidR="00F376BE">
        <w:rPr>
          <w:szCs w:val="24"/>
        </w:rPr>
        <w:t>2013.gadu Igaunijā valsts un pašvaldību līmenī ir veiktas mērķtiecīgas darbības efektīva skolu tīkla izveidei:</w:t>
      </w:r>
    </w:p>
    <w:p w:rsidR="00F376BE" w:rsidRDefault="00F376BE" w:rsidP="00F376BE">
      <w:pPr>
        <w:pStyle w:val="ListParagraph"/>
        <w:numPr>
          <w:ilvl w:val="0"/>
          <w:numId w:val="15"/>
        </w:numPr>
        <w:rPr>
          <w:szCs w:val="24"/>
        </w:rPr>
      </w:pPr>
      <w:r>
        <w:rPr>
          <w:szCs w:val="24"/>
        </w:rPr>
        <w:t xml:space="preserve">Ieviests valsts finansējuma pedagogu darba samaksai aprēķins </w:t>
      </w:r>
      <w:r w:rsidRPr="00F376BE">
        <w:rPr>
          <w:szCs w:val="24"/>
        </w:rPr>
        <w:t>uz vienu skolēnu</w:t>
      </w:r>
      <w:r>
        <w:rPr>
          <w:szCs w:val="24"/>
        </w:rPr>
        <w:t xml:space="preserve"> pašvaldībā</w:t>
      </w:r>
      <w:r w:rsidR="000B2A26">
        <w:rPr>
          <w:szCs w:val="24"/>
        </w:rPr>
        <w:t xml:space="preserve">. </w:t>
      </w:r>
    </w:p>
    <w:p w:rsidR="00F376BE" w:rsidRPr="00F376BE" w:rsidRDefault="000B2A26" w:rsidP="000B2A26">
      <w:pPr>
        <w:pStyle w:val="ListParagraph"/>
        <w:numPr>
          <w:ilvl w:val="0"/>
          <w:numId w:val="15"/>
        </w:numPr>
        <w:rPr>
          <w:szCs w:val="24"/>
        </w:rPr>
      </w:pPr>
      <w:r>
        <w:rPr>
          <w:szCs w:val="24"/>
        </w:rPr>
        <w:t>Ja pašvaldība konsolidēja vidusskolu 10.</w:t>
      </w:r>
      <w:r w:rsidR="007A78A9">
        <w:rPr>
          <w:szCs w:val="24"/>
        </w:rPr>
        <w:t>-</w:t>
      </w:r>
      <w:r>
        <w:rPr>
          <w:szCs w:val="24"/>
        </w:rPr>
        <w:t>12. klases posmu, tad skolu pārņēma valsts un veidoja valsts ģimnāziju.</w:t>
      </w:r>
      <w:r w:rsidRPr="000B2A26">
        <w:t xml:space="preserve"> </w:t>
      </w:r>
      <w:r w:rsidRPr="000B2A26">
        <w:rPr>
          <w:szCs w:val="24"/>
        </w:rPr>
        <w:t>2013./</w:t>
      </w:r>
      <w:r>
        <w:rPr>
          <w:szCs w:val="24"/>
        </w:rPr>
        <w:t>20</w:t>
      </w:r>
      <w:r w:rsidRPr="000B2A26">
        <w:rPr>
          <w:szCs w:val="24"/>
        </w:rPr>
        <w:t xml:space="preserve">14. </w:t>
      </w:r>
      <w:r>
        <w:rPr>
          <w:szCs w:val="24"/>
        </w:rPr>
        <w:t>mācību gadā</w:t>
      </w:r>
      <w:r w:rsidRPr="000B2A26">
        <w:rPr>
          <w:szCs w:val="24"/>
        </w:rPr>
        <w:t xml:space="preserve"> </w:t>
      </w:r>
      <w:r>
        <w:rPr>
          <w:szCs w:val="24"/>
        </w:rPr>
        <w:t>Igaunijā</w:t>
      </w:r>
      <w:r w:rsidRPr="000B2A26">
        <w:rPr>
          <w:szCs w:val="24"/>
        </w:rPr>
        <w:t xml:space="preserve"> bija 9 valsts ģimnāzijas, </w:t>
      </w:r>
      <w:r>
        <w:rPr>
          <w:szCs w:val="24"/>
        </w:rPr>
        <w:t xml:space="preserve">bet </w:t>
      </w:r>
      <w:r w:rsidRPr="000B2A26">
        <w:rPr>
          <w:szCs w:val="24"/>
        </w:rPr>
        <w:t>2020./</w:t>
      </w:r>
      <w:r>
        <w:rPr>
          <w:szCs w:val="24"/>
        </w:rPr>
        <w:t>20</w:t>
      </w:r>
      <w:r w:rsidRPr="000B2A26">
        <w:rPr>
          <w:szCs w:val="24"/>
        </w:rPr>
        <w:t xml:space="preserve">21. </w:t>
      </w:r>
      <w:r>
        <w:rPr>
          <w:szCs w:val="24"/>
        </w:rPr>
        <w:t>mācību gadā</w:t>
      </w:r>
      <w:r w:rsidRPr="000B2A26">
        <w:rPr>
          <w:szCs w:val="24"/>
        </w:rPr>
        <w:t xml:space="preserve"> to skaits bija 19.</w:t>
      </w:r>
    </w:p>
    <w:p w:rsidR="00147628" w:rsidRDefault="00147628" w:rsidP="00147628">
      <w:pPr>
        <w:ind w:firstLine="0"/>
      </w:pPr>
    </w:p>
    <w:p w:rsidR="00893546" w:rsidRPr="004B1BFC" w:rsidRDefault="00C30E54" w:rsidP="00893546">
      <w:pPr>
        <w:pStyle w:val="Heading2"/>
        <w:rPr>
          <w:sz w:val="28"/>
          <w:szCs w:val="28"/>
        </w:rPr>
      </w:pPr>
      <w:bookmarkStart w:id="5" w:name="_Toc81299619"/>
      <w:r>
        <w:rPr>
          <w:sz w:val="28"/>
          <w:szCs w:val="28"/>
        </w:rPr>
        <w:t>1</w:t>
      </w:r>
      <w:r w:rsidR="00893546" w:rsidRPr="004B1BFC">
        <w:rPr>
          <w:sz w:val="28"/>
          <w:szCs w:val="28"/>
        </w:rPr>
        <w:t>.</w:t>
      </w:r>
      <w:r>
        <w:rPr>
          <w:sz w:val="28"/>
          <w:szCs w:val="28"/>
        </w:rPr>
        <w:t>4</w:t>
      </w:r>
      <w:r w:rsidR="00893546" w:rsidRPr="004B1BFC">
        <w:rPr>
          <w:sz w:val="28"/>
          <w:szCs w:val="28"/>
        </w:rPr>
        <w:t>. </w:t>
      </w:r>
      <w:r w:rsidR="00893546">
        <w:rPr>
          <w:sz w:val="28"/>
          <w:szCs w:val="28"/>
        </w:rPr>
        <w:t>Izaicinājumi vispārējās izglītības pedagogu darba samaksas finansēšanā</w:t>
      </w:r>
      <w:bookmarkEnd w:id="5"/>
    </w:p>
    <w:p w:rsidR="00623F2F" w:rsidRPr="00141CC6" w:rsidRDefault="00B403BE" w:rsidP="00893546">
      <w:pPr>
        <w:rPr>
          <w:szCs w:val="24"/>
        </w:rPr>
      </w:pPr>
      <w:r>
        <w:rPr>
          <w:szCs w:val="24"/>
        </w:rPr>
        <w:t>Ņemot vērā 2020./2021.m.g.</w:t>
      </w:r>
      <w:r w:rsidRPr="00B403BE">
        <w:rPr>
          <w:szCs w:val="24"/>
        </w:rPr>
        <w:t xml:space="preserve"> </w:t>
      </w:r>
      <w:r>
        <w:rPr>
          <w:szCs w:val="24"/>
        </w:rPr>
        <w:t xml:space="preserve">VIIS pedagogu tarifikāciju datu analīzi un </w:t>
      </w:r>
      <w:r w:rsidR="00623F2F" w:rsidRPr="00114E66">
        <w:rPr>
          <w:szCs w:val="24"/>
        </w:rPr>
        <w:t>spēkā esošās mērķdotācijas aprēķina kārtības</w:t>
      </w:r>
      <w:r w:rsidR="00623F2F">
        <w:rPr>
          <w:rStyle w:val="FootnoteReference"/>
          <w:szCs w:val="24"/>
        </w:rPr>
        <w:footnoteReference w:id="13"/>
      </w:r>
      <w:r w:rsidR="00623F2F">
        <w:rPr>
          <w:szCs w:val="24"/>
        </w:rPr>
        <w:t xml:space="preserve"> un pedagogu darba samaksas noteikumu</w:t>
      </w:r>
      <w:r w:rsidR="00A561BE">
        <w:rPr>
          <w:rStyle w:val="FootnoteReference"/>
          <w:szCs w:val="24"/>
        </w:rPr>
        <w:footnoteReference w:id="14"/>
      </w:r>
      <w:r w:rsidR="00623F2F" w:rsidRPr="00114E66">
        <w:rPr>
          <w:szCs w:val="24"/>
        </w:rPr>
        <w:t xml:space="preserve"> stipr</w:t>
      </w:r>
      <w:r>
        <w:rPr>
          <w:szCs w:val="24"/>
        </w:rPr>
        <w:t>o pušu un vājo pušu izvērtējumu,</w:t>
      </w:r>
      <w:r w:rsidR="00623F2F">
        <w:rPr>
          <w:szCs w:val="24"/>
        </w:rPr>
        <w:t xml:space="preserve"> s</w:t>
      </w:r>
      <w:r w:rsidR="00623F2F" w:rsidRPr="00141CC6">
        <w:rPr>
          <w:szCs w:val="24"/>
        </w:rPr>
        <w:t xml:space="preserve">aistībā ar darba samaksas pilnveidi </w:t>
      </w:r>
      <w:r w:rsidR="00623F2F">
        <w:rPr>
          <w:szCs w:val="24"/>
        </w:rPr>
        <w:t>vispārējās izglītības pedagogiem</w:t>
      </w:r>
      <w:r w:rsidR="00893546">
        <w:rPr>
          <w:szCs w:val="24"/>
        </w:rPr>
        <w:t xml:space="preserve"> </w:t>
      </w:r>
      <w:r w:rsidR="00140376">
        <w:rPr>
          <w:szCs w:val="24"/>
        </w:rPr>
        <w:t xml:space="preserve">identificēti </w:t>
      </w:r>
      <w:r w:rsidR="00623F2F">
        <w:rPr>
          <w:szCs w:val="24"/>
        </w:rPr>
        <w:t>šādi</w:t>
      </w:r>
      <w:r w:rsidR="00623F2F" w:rsidRPr="00141CC6">
        <w:rPr>
          <w:szCs w:val="24"/>
        </w:rPr>
        <w:t xml:space="preserve"> </w:t>
      </w:r>
      <w:r w:rsidR="00623F2F" w:rsidRPr="00B04471">
        <w:rPr>
          <w:b/>
          <w:szCs w:val="24"/>
        </w:rPr>
        <w:t>galvenie mērķi</w:t>
      </w:r>
      <w:r w:rsidR="00623F2F" w:rsidRPr="00141CC6">
        <w:rPr>
          <w:szCs w:val="24"/>
        </w:rPr>
        <w:t>:</w:t>
      </w:r>
    </w:p>
    <w:p w:rsidR="00A868DE" w:rsidRPr="00A868DE" w:rsidRDefault="00A868DE" w:rsidP="00A868DE">
      <w:pPr>
        <w:pStyle w:val="ListParagraph"/>
        <w:numPr>
          <w:ilvl w:val="0"/>
          <w:numId w:val="17"/>
        </w:numPr>
        <w:rPr>
          <w:b/>
        </w:rPr>
      </w:pPr>
      <w:r w:rsidRPr="00A868DE">
        <w:rPr>
          <w:b/>
        </w:rPr>
        <w:t>nodrošināt pedagogu darba samaksas pieaugumu, nodrošinot optimālu skolotāju noslodzi un palielinot zemāko algas likmi;</w:t>
      </w:r>
    </w:p>
    <w:p w:rsidR="00A868DE" w:rsidRPr="00A868DE" w:rsidRDefault="00A868DE" w:rsidP="00A868DE">
      <w:pPr>
        <w:pStyle w:val="ListParagraph"/>
        <w:numPr>
          <w:ilvl w:val="0"/>
          <w:numId w:val="17"/>
        </w:numPr>
        <w:rPr>
          <w:b/>
        </w:rPr>
      </w:pPr>
      <w:r w:rsidRPr="00A868DE">
        <w:rPr>
          <w:b/>
        </w:rPr>
        <w:t>vienkāršot valsts finansējuma aprēķinu, samazinot dažādo koeficientu skaitu;</w:t>
      </w:r>
    </w:p>
    <w:p w:rsidR="00A868DE" w:rsidRPr="00A868DE" w:rsidRDefault="00A868DE" w:rsidP="00A868DE">
      <w:pPr>
        <w:pStyle w:val="ListParagraph"/>
        <w:numPr>
          <w:ilvl w:val="0"/>
          <w:numId w:val="17"/>
        </w:numPr>
        <w:rPr>
          <w:b/>
        </w:rPr>
      </w:pPr>
      <w:r w:rsidRPr="00A868DE">
        <w:rPr>
          <w:b/>
        </w:rPr>
        <w:t>mazināt izglītojamo skaita izmaiņu ietekmi uz valsts finansējuma pedagogu darba samaksai aprēķinu;</w:t>
      </w:r>
    </w:p>
    <w:p w:rsidR="00A868DE" w:rsidRPr="00A868DE" w:rsidRDefault="00A868DE" w:rsidP="00A868DE">
      <w:pPr>
        <w:pStyle w:val="ListParagraph"/>
        <w:numPr>
          <w:ilvl w:val="0"/>
          <w:numId w:val="17"/>
        </w:numPr>
        <w:rPr>
          <w:b/>
        </w:rPr>
      </w:pPr>
      <w:r w:rsidRPr="00A868DE">
        <w:rPr>
          <w:b/>
        </w:rPr>
        <w:t>palielināt pašvaldību lomu un atbildību kvalitatīva izglītības piedāvājuma nodrošināšanā, kā arī atbalsta nodrošināšanā izglītojamiem ar speciālām vajadzībām, veidojot optimālu skolu tīklu un skolotāju/izglītojamo proporciju.</w:t>
      </w:r>
    </w:p>
    <w:p w:rsidR="00C60DB7" w:rsidRDefault="00C60DB7" w:rsidP="00C60DB7"/>
    <w:p w:rsidR="00B04471" w:rsidRPr="003E04BF" w:rsidRDefault="00C30E54" w:rsidP="00C60DB7">
      <w:pPr>
        <w:pStyle w:val="Heading1"/>
      </w:pPr>
      <w:bookmarkStart w:id="6" w:name="_Toc81299620"/>
      <w:r>
        <w:t>2</w:t>
      </w:r>
      <w:r w:rsidR="00C60DB7">
        <w:t xml:space="preserve">. </w:t>
      </w:r>
      <w:r w:rsidR="00C60DB7" w:rsidRPr="00D80215">
        <w:t>Priekšlikumi valsts finansējuma aprēķina maiņai vispārējās izglītības iestāžu, izņemot speciālās izglītības iestādes, pedagogu darba samaksai</w:t>
      </w:r>
      <w:bookmarkEnd w:id="6"/>
    </w:p>
    <w:p w:rsidR="00030A2B" w:rsidRPr="004B1BFC" w:rsidRDefault="00C30E54" w:rsidP="00030A2B">
      <w:pPr>
        <w:pStyle w:val="Heading2"/>
        <w:rPr>
          <w:sz w:val="28"/>
          <w:szCs w:val="28"/>
        </w:rPr>
      </w:pPr>
      <w:bookmarkStart w:id="7" w:name="_Toc81299621"/>
      <w:r>
        <w:rPr>
          <w:sz w:val="28"/>
          <w:szCs w:val="28"/>
        </w:rPr>
        <w:t>2</w:t>
      </w:r>
      <w:r w:rsidR="00C60DB7">
        <w:rPr>
          <w:sz w:val="28"/>
          <w:szCs w:val="28"/>
        </w:rPr>
        <w:t>.1</w:t>
      </w:r>
      <w:r w:rsidR="00030A2B" w:rsidRPr="004B1BFC">
        <w:rPr>
          <w:sz w:val="28"/>
          <w:szCs w:val="28"/>
        </w:rPr>
        <w:t>. </w:t>
      </w:r>
      <w:r w:rsidR="008C06A5" w:rsidRPr="004B1BFC">
        <w:rPr>
          <w:sz w:val="28"/>
          <w:szCs w:val="28"/>
        </w:rPr>
        <w:t>Modelis</w:t>
      </w:r>
      <w:r w:rsidR="0077147E" w:rsidRPr="004B1BFC">
        <w:rPr>
          <w:sz w:val="28"/>
          <w:szCs w:val="28"/>
        </w:rPr>
        <w:t xml:space="preserve"> Nr.1: </w:t>
      </w:r>
      <w:r w:rsidR="00D73900" w:rsidRPr="004B1BFC">
        <w:rPr>
          <w:sz w:val="28"/>
          <w:szCs w:val="28"/>
        </w:rPr>
        <w:t xml:space="preserve">Mācību plāna finansējums normētai skolas klasei </w:t>
      </w:r>
      <w:r w:rsidR="00623F2F">
        <w:rPr>
          <w:sz w:val="28"/>
          <w:szCs w:val="28"/>
        </w:rPr>
        <w:t xml:space="preserve">– </w:t>
      </w:r>
      <w:r w:rsidR="007A78A9">
        <w:rPr>
          <w:sz w:val="28"/>
          <w:szCs w:val="28"/>
        </w:rPr>
        <w:t xml:space="preserve"> "</w:t>
      </w:r>
      <w:r w:rsidR="00F73647">
        <w:rPr>
          <w:sz w:val="28"/>
          <w:szCs w:val="28"/>
        </w:rPr>
        <w:t>Klase skolā</w:t>
      </w:r>
      <w:r w:rsidR="007A78A9">
        <w:rPr>
          <w:sz w:val="28"/>
          <w:szCs w:val="28"/>
        </w:rPr>
        <w:t>"</w:t>
      </w:r>
      <w:bookmarkEnd w:id="7"/>
    </w:p>
    <w:p w:rsidR="00FB459B" w:rsidRDefault="00F006D2" w:rsidP="00FB459B">
      <w:r>
        <w:t xml:space="preserve">Ņemot vērā </w:t>
      </w:r>
      <w:r w:rsidR="00E526B6">
        <w:t>izvirzītos mērķus mērķdotācijas aprēķina maiņai</w:t>
      </w:r>
      <w:r w:rsidR="00AD1491">
        <w:t>,</w:t>
      </w:r>
      <w:r w:rsidR="00E526B6">
        <w:t xml:space="preserve"> </w:t>
      </w:r>
      <w:r w:rsidR="00A868DE">
        <w:t xml:space="preserve">darba grupā </w:t>
      </w:r>
      <w:r w:rsidR="00E526B6">
        <w:t>ir izstrādāts f</w:t>
      </w:r>
      <w:r w:rsidR="00E526B6" w:rsidRPr="00E526B6">
        <w:t>inansējuma aprēķina p</w:t>
      </w:r>
      <w:r w:rsidR="00E526B6">
        <w:t xml:space="preserve">edagogu darba samaksai apraksts </w:t>
      </w:r>
      <w:r w:rsidR="00FB459B">
        <w:t>"</w:t>
      </w:r>
      <w:r w:rsidR="00E526B6" w:rsidRPr="00E526B6">
        <w:t xml:space="preserve">Mācību plāna finansējums </w:t>
      </w:r>
      <w:r w:rsidR="006A4081">
        <w:t xml:space="preserve">normētai </w:t>
      </w:r>
      <w:r w:rsidR="00E526B6" w:rsidRPr="00E526B6">
        <w:t>klasei</w:t>
      </w:r>
      <w:r w:rsidR="00FB459B">
        <w:t>"</w:t>
      </w:r>
      <w:r w:rsidR="00702F0B">
        <w:t xml:space="preserve"> (turpmāk – aprēķina modelis)</w:t>
      </w:r>
      <w:r w:rsidR="00E526B6">
        <w:t xml:space="preserve"> </w:t>
      </w:r>
      <w:r w:rsidR="00E526B6" w:rsidRPr="00A21E09">
        <w:t>(</w:t>
      </w:r>
      <w:r w:rsidR="005731B9" w:rsidRPr="00A21E09">
        <w:t>1</w:t>
      </w:r>
      <w:r w:rsidR="00E526B6" w:rsidRPr="00A21E09">
        <w:t>. pielikums)</w:t>
      </w:r>
      <w:r w:rsidR="00925DEF" w:rsidRPr="00A21E09">
        <w:t>,</w:t>
      </w:r>
      <w:r w:rsidR="00925DEF">
        <w:t xml:space="preserve"> kuru plānots ieviest no 2022. gada 1. septembra.</w:t>
      </w:r>
      <w:r w:rsidR="00702F0B">
        <w:t xml:space="preserve"> Aprēķina modelis ir balstīts uz skolotāja darba stundu aprēķinu mācību plāna īste</w:t>
      </w:r>
      <w:r w:rsidR="009F5BFA">
        <w:t>nošanai noteikta lieluma klasei</w:t>
      </w:r>
      <w:r w:rsidR="00702F0B">
        <w:t xml:space="preserve"> jeb normētai klasei. </w:t>
      </w:r>
    </w:p>
    <w:p w:rsidR="00E74F38" w:rsidRPr="00E74F38" w:rsidRDefault="00702F0B" w:rsidP="00FB459B">
      <w:r>
        <w:t>Skolotāja darba stundu skaits</w:t>
      </w:r>
      <w:r w:rsidRPr="00702F0B">
        <w:t xml:space="preserve"> mācību plāna īstenošanai</w:t>
      </w:r>
      <w:r>
        <w:t xml:space="preserve"> ir noteikts trijiem klases lielumiem:</w:t>
      </w:r>
      <w:r w:rsidR="00360B15">
        <w:t xml:space="preserve"> maza klase (</w:t>
      </w:r>
      <w:r w:rsidR="00372BB4">
        <w:t>izglītojamo</w:t>
      </w:r>
      <w:r w:rsidR="00372BB4" w:rsidRPr="00360B15">
        <w:t xml:space="preserve"> </w:t>
      </w:r>
      <w:r w:rsidR="00360B15" w:rsidRPr="00360B15">
        <w:t>skaits klasē 8</w:t>
      </w:r>
      <w:r w:rsidR="00FB459B">
        <w:t>-</w:t>
      </w:r>
      <w:r w:rsidR="00360B15" w:rsidRPr="00360B15">
        <w:t xml:space="preserve">14 </w:t>
      </w:r>
      <w:r w:rsidR="00372BB4">
        <w:t>izglītojamie</w:t>
      </w:r>
      <w:r w:rsidR="00360B15">
        <w:t>), vidēja klase (</w:t>
      </w:r>
      <w:r w:rsidR="00372BB4">
        <w:t>izglītojamo</w:t>
      </w:r>
      <w:r w:rsidR="00372BB4" w:rsidRPr="00360B15">
        <w:t xml:space="preserve"> </w:t>
      </w:r>
      <w:r w:rsidR="00360B15" w:rsidRPr="00360B15">
        <w:t>skaits klasē 15</w:t>
      </w:r>
      <w:r w:rsidR="00FB459B">
        <w:t>-</w:t>
      </w:r>
      <w:r w:rsidR="00360B15" w:rsidRPr="00360B15">
        <w:t xml:space="preserve">20 </w:t>
      </w:r>
      <w:r w:rsidR="00372BB4">
        <w:t>izglītojamie</w:t>
      </w:r>
      <w:r w:rsidR="00360B15">
        <w:t>) un l</w:t>
      </w:r>
      <w:r w:rsidR="00360B15" w:rsidRPr="00360B15">
        <w:t>iela klase</w:t>
      </w:r>
      <w:r w:rsidR="00360B15">
        <w:t xml:space="preserve"> (</w:t>
      </w:r>
      <w:r w:rsidR="00372BB4">
        <w:t>izglītojamo</w:t>
      </w:r>
      <w:r w:rsidR="00372BB4" w:rsidRPr="00360B15">
        <w:t xml:space="preserve"> </w:t>
      </w:r>
      <w:r w:rsidR="00360B15" w:rsidRPr="00360B15">
        <w:t>skaits klasē vairāk par 21</w:t>
      </w:r>
      <w:r w:rsidR="00360B15">
        <w:t xml:space="preserve">). Reālais </w:t>
      </w:r>
      <w:r w:rsidR="00372BB4">
        <w:t xml:space="preserve">izglītojamo </w:t>
      </w:r>
      <w:r w:rsidR="00360B15">
        <w:t xml:space="preserve">skaits skolā tiek normēts, izmantojot optimālas klases lielumu: </w:t>
      </w:r>
      <w:r w:rsidR="00360B15" w:rsidRPr="00360B15">
        <w:t>1.</w:t>
      </w:r>
      <w:r w:rsidR="00FB459B">
        <w:t>-</w:t>
      </w:r>
      <w:r w:rsidR="00360B15" w:rsidRPr="00360B15">
        <w:t xml:space="preserve">6. klasei 20 </w:t>
      </w:r>
      <w:r w:rsidR="00372BB4">
        <w:t>izglītojamie</w:t>
      </w:r>
      <w:r w:rsidR="00360B15">
        <w:t xml:space="preserve">, </w:t>
      </w:r>
      <w:r w:rsidR="00360B15" w:rsidRPr="00360B15">
        <w:t>7.</w:t>
      </w:r>
      <w:r w:rsidR="00FB459B">
        <w:noBreakHyphen/>
      </w:r>
      <w:r w:rsidR="00360B15" w:rsidRPr="00360B15">
        <w:t xml:space="preserve">12. klase 25 </w:t>
      </w:r>
      <w:r w:rsidR="00372BB4">
        <w:t xml:space="preserve">izglītojamie </w:t>
      </w:r>
      <w:r w:rsidR="00360B15">
        <w:t xml:space="preserve">un klasei, kurā visi </w:t>
      </w:r>
      <w:r w:rsidR="00372BB4">
        <w:t xml:space="preserve">izglītojamie </w:t>
      </w:r>
      <w:r w:rsidR="00360B15">
        <w:t>apgūst</w:t>
      </w:r>
      <w:r w:rsidR="00A90E88">
        <w:t xml:space="preserve"> speciālās izglītības programmu, -</w:t>
      </w:r>
      <w:r w:rsidR="00360B15">
        <w:t xml:space="preserve">12 </w:t>
      </w:r>
      <w:r w:rsidR="00372BB4">
        <w:t>izglītojamie</w:t>
      </w:r>
      <w:r w:rsidR="00360B15">
        <w:t>. Papildus mācību plāna stundām atkarībā no klases lieluma tiek aprēķināts finansējums skolotāju darba apmaksai citu pienākumu veikšanai.</w:t>
      </w:r>
      <w:r w:rsidR="00FB459B">
        <w:t xml:space="preserve"> 2022./2023. mācību gadā </w:t>
      </w:r>
      <w:r w:rsidR="00F63E1C">
        <w:t xml:space="preserve">minētais aprēķins paredz </w:t>
      </w:r>
      <w:r w:rsidR="00E74F38" w:rsidRPr="00E74F38">
        <w:t xml:space="preserve">katrai skolotāja slodzei papildus aprēķināt apmaksātas darba stundas citu pienākumu veikšanai atkarībā no </w:t>
      </w:r>
      <w:r w:rsidR="008B2B03">
        <w:t xml:space="preserve">izglītojamo </w:t>
      </w:r>
      <w:r w:rsidR="008B2B03" w:rsidRPr="00E74F38">
        <w:t xml:space="preserve"> </w:t>
      </w:r>
      <w:r w:rsidR="00E74F38" w:rsidRPr="00E74F38">
        <w:t>skaita klasē:</w:t>
      </w:r>
    </w:p>
    <w:p w:rsidR="00E74F38" w:rsidRPr="00E74F38" w:rsidRDefault="00030A2B" w:rsidP="00030A2B">
      <w:r>
        <w:t>– m</w:t>
      </w:r>
      <w:r w:rsidR="00E74F38" w:rsidRPr="00E74F38">
        <w:t>azai klasei (8</w:t>
      </w:r>
      <w:r>
        <w:t>-</w:t>
      </w:r>
      <w:r w:rsidR="00E74F38" w:rsidRPr="00E74F38">
        <w:t xml:space="preserve">14 </w:t>
      </w:r>
      <w:r w:rsidR="00372BB4">
        <w:t>izglītojamie</w:t>
      </w:r>
      <w:r w:rsidR="00E74F38" w:rsidRPr="00E74F38">
        <w:t>) mācību plāna stundām papildus aprēķina 10% apmaksāta skolotāju darba laika citu pienākumu veikšanai;</w:t>
      </w:r>
    </w:p>
    <w:p w:rsidR="00E74F38" w:rsidRPr="00E74F38" w:rsidRDefault="00030A2B" w:rsidP="00030A2B">
      <w:r>
        <w:t>– v</w:t>
      </w:r>
      <w:r w:rsidR="00E74F38" w:rsidRPr="00E74F38">
        <w:t>idējai klasei (15</w:t>
      </w:r>
      <w:r>
        <w:t>-</w:t>
      </w:r>
      <w:r w:rsidR="00E74F38" w:rsidRPr="00E74F38">
        <w:t xml:space="preserve">20 </w:t>
      </w:r>
      <w:r w:rsidR="00372BB4">
        <w:t>izglītojamie</w:t>
      </w:r>
      <w:r w:rsidR="00E74F38" w:rsidRPr="00E74F38">
        <w:t>) mācību plāna stundām papildus aprēķina 20% apmaksāta skolotāju darba laika citu pienākumu veikšanai;</w:t>
      </w:r>
    </w:p>
    <w:p w:rsidR="00E74F38" w:rsidRPr="00E74F38" w:rsidRDefault="00030A2B" w:rsidP="00030A2B">
      <w:r>
        <w:t>– l</w:t>
      </w:r>
      <w:r w:rsidR="00E74F38" w:rsidRPr="00E74F38">
        <w:t xml:space="preserve">ielai klasei (21 un vairāk </w:t>
      </w:r>
      <w:r w:rsidR="00372BB4">
        <w:t>izglītojamie</w:t>
      </w:r>
      <w:r w:rsidR="00E74F38" w:rsidRPr="00E74F38">
        <w:t>) mācību plāna stundām papildus aprēķina 25% apmaksāta skolotāju darba laika citu pienākumu veikšanai.</w:t>
      </w:r>
    </w:p>
    <w:p w:rsidR="002D0E8C" w:rsidRDefault="00E563F1" w:rsidP="00030A2B">
      <w:r>
        <w:t>A</w:t>
      </w:r>
      <w:r w:rsidR="002D0E8C">
        <w:t>prēķins tiek veikts uz katru klasi. Katrā skolā visbiežāk ir gan mazas, gan vidējas klases, vai vidējas klases un lielas klases, kā arī ir skolas, kur ir visu trīs izmēru klases.</w:t>
      </w:r>
      <w:r>
        <w:t xml:space="preserve"> Aprēķinu rezultātā tiek iegūts finansējums pedagogu darba samaksai konkrētai skolai, kuru skolas direktors</w:t>
      </w:r>
      <w:r w:rsidRPr="00E563F1">
        <w:t xml:space="preserve"> </w:t>
      </w:r>
      <w:r>
        <w:t>tarifikācijas procesā, ņemot vērā katra pedagoga darba pienākumus un normatīvo regulējumu par pedagogu da</w:t>
      </w:r>
      <w:r w:rsidR="003C1062">
        <w:t xml:space="preserve">rba samaksu, sadala </w:t>
      </w:r>
      <w:r>
        <w:t xml:space="preserve">pedagogu darba samaksai. </w:t>
      </w:r>
      <w:r w:rsidRPr="00401ACC">
        <w:t>Tādēļ finansējuma aprēķina nosacījumi nav tieši interpretējami kā nosacījumi pedagogu darba slodzes noteikšanai.</w:t>
      </w:r>
    </w:p>
    <w:p w:rsidR="00E74F38" w:rsidRDefault="00E74F38" w:rsidP="00030A2B">
      <w:r w:rsidRPr="00E74F38">
        <w:t xml:space="preserve">Ja </w:t>
      </w:r>
      <w:r w:rsidR="00372BB4">
        <w:t>izglītojamo</w:t>
      </w:r>
      <w:r w:rsidRPr="00E74F38">
        <w:t xml:space="preserve">/skolotāju attiecība skolā ir optimāla, t. i. vismaz viens skolotājs uz 8 </w:t>
      </w:r>
      <w:r w:rsidR="008B2B03">
        <w:t>izglītojamiem</w:t>
      </w:r>
      <w:r w:rsidRPr="00E74F38">
        <w:t>, tad šāds aprēķins nodrošina iespēju skolotājiem strādāt ar lielākām slodzēm un tarifikācijās iekļaut vairāk apmaksātas darba stundas citu pienākumu veikšanai.</w:t>
      </w:r>
    </w:p>
    <w:p w:rsidR="007107F6" w:rsidRDefault="001F49BE" w:rsidP="00030A2B">
      <w:r w:rsidRPr="00F63E1C">
        <w:t>Nākamajos gados paredzēts pakāpeniski mērķdotācijas aprēķinā palielināt papildus mācību plāna stundām aprēķināto skolotāja darba stundu daļu citu pienākumu veik</w:t>
      </w:r>
      <w:r w:rsidR="007107F6">
        <w:t>šanai, sasniedzot apmaksātu darba laiku 40% apmērā no skolotāja</w:t>
      </w:r>
      <w:r w:rsidR="00212522">
        <w:t xml:space="preserve"> nedēļas darba slodzes.</w:t>
      </w:r>
    </w:p>
    <w:p w:rsidR="00E909FC" w:rsidRDefault="00E909FC" w:rsidP="00E909FC">
      <w:r>
        <w:lastRenderedPageBreak/>
        <w:t>A</w:t>
      </w:r>
      <w:r w:rsidRPr="008C06A5">
        <w:t>kciju sabiedrība "KPMG Baltics AS"</w:t>
      </w:r>
      <w:r>
        <w:t xml:space="preserve"> (turpmāk – KPMG), pamatojoties uz ar </w:t>
      </w:r>
      <w:r w:rsidR="009F5BFA">
        <w:t>ministriju</w:t>
      </w:r>
      <w:r w:rsidR="00A86664">
        <w:t xml:space="preserve"> </w:t>
      </w:r>
      <w:r>
        <w:t>noslēgto 2021. gada 2.jūnija līgumu Nr. 2-6.1e/21/47, veica aprēķina modeļa novērtējumu. KPMG 202</w:t>
      </w:r>
      <w:r w:rsidR="007A78A9">
        <w:t>1. gada 5.jūlija gala ziņojumā "</w:t>
      </w:r>
      <w:r w:rsidRPr="00E909FC">
        <w:t>Novērtējums par jauno pedagogu darba samaksas modeli</w:t>
      </w:r>
      <w:r w:rsidR="007A78A9">
        <w:t>"</w:t>
      </w:r>
      <w:r>
        <w:t xml:space="preserve"> ietvertas vairākas atziņas par pilnveidojumiem</w:t>
      </w:r>
      <w:r w:rsidR="00401ACC">
        <w:t xml:space="preserve"> izstrādātajā</w:t>
      </w:r>
      <w:r>
        <w:t xml:space="preserve"> aprēķina modelī</w:t>
      </w:r>
      <w:r w:rsidR="00401ACC">
        <w:t xml:space="preserve">, cita starpā vēršot uzmanību uz apvienoto klašu finansēšanas jautājumu un </w:t>
      </w:r>
      <w:r w:rsidR="007A78A9">
        <w:t>"</w:t>
      </w:r>
      <w:r w:rsidR="00401ACC">
        <w:t>kvalitātes fonda</w:t>
      </w:r>
      <w:r w:rsidR="007A78A9">
        <w:t>"</w:t>
      </w:r>
      <w:r w:rsidR="00401ACC">
        <w:t xml:space="preserve"> kritērijiem un aprēķinu.</w:t>
      </w:r>
    </w:p>
    <w:p w:rsidR="006353C5" w:rsidRDefault="006353C5" w:rsidP="00E909FC">
      <w:r w:rsidRPr="00254017">
        <w:rPr>
          <w:b/>
        </w:rPr>
        <w:t>M</w:t>
      </w:r>
      <w:r w:rsidR="00254017">
        <w:rPr>
          <w:b/>
        </w:rPr>
        <w:t>odeļa</w:t>
      </w:r>
      <w:r w:rsidRPr="00254017">
        <w:rPr>
          <w:b/>
        </w:rPr>
        <w:t xml:space="preserve"> </w:t>
      </w:r>
      <w:r w:rsidR="007A78A9">
        <w:rPr>
          <w:b/>
        </w:rPr>
        <w:t>"</w:t>
      </w:r>
      <w:r w:rsidR="002E4554">
        <w:rPr>
          <w:b/>
        </w:rPr>
        <w:t>Klase skolā</w:t>
      </w:r>
      <w:r w:rsidR="007A78A9">
        <w:rPr>
          <w:b/>
        </w:rPr>
        <w:t>"</w:t>
      </w:r>
      <w:r w:rsidRPr="00254017">
        <w:rPr>
          <w:b/>
        </w:rPr>
        <w:t xml:space="preserve"> priekšrocības</w:t>
      </w:r>
      <w:r>
        <w:t xml:space="preserve"> sa</w:t>
      </w:r>
      <w:r w:rsidR="007A78A9">
        <w:t>līdzinājumā ar spēkā esošo "Nauda seko skolēnam"</w:t>
      </w:r>
      <w:r>
        <w:t>:</w:t>
      </w:r>
    </w:p>
    <w:p w:rsidR="006353C5" w:rsidRDefault="006353C5" w:rsidP="006353C5">
      <w:pPr>
        <w:pStyle w:val="ListParagraph"/>
        <w:numPr>
          <w:ilvl w:val="0"/>
          <w:numId w:val="10"/>
        </w:numPr>
      </w:pPr>
      <w:r>
        <w:t>Mazina izglītojamo skaita izmaiņu ietekmi uz izglītības iestādei aprēķin</w:t>
      </w:r>
      <w:r w:rsidR="00254017">
        <w:t xml:space="preserve">āto </w:t>
      </w:r>
      <w:r>
        <w:t>valsts finansējumu pedagogu darba samaksai;</w:t>
      </w:r>
    </w:p>
    <w:p w:rsidR="006353C5" w:rsidRDefault="006353C5" w:rsidP="006353C5">
      <w:pPr>
        <w:pStyle w:val="ListParagraph"/>
        <w:numPr>
          <w:ilvl w:val="0"/>
          <w:numId w:val="10"/>
        </w:numPr>
      </w:pPr>
      <w:r>
        <w:t xml:space="preserve">Nodrošina mērķēta valsts finansējuma aprēķinu </w:t>
      </w:r>
      <w:r w:rsidR="00254017">
        <w:t>atbalsts nodrošināšanai izglītojamiem;</w:t>
      </w:r>
    </w:p>
    <w:p w:rsidR="00254017" w:rsidRDefault="00254017" w:rsidP="00254017">
      <w:pPr>
        <w:pStyle w:val="ListParagraph"/>
        <w:numPr>
          <w:ilvl w:val="0"/>
          <w:numId w:val="10"/>
        </w:numPr>
      </w:pPr>
      <w:r>
        <w:t xml:space="preserve">Veicina izglītības iestādes autonomiju </w:t>
      </w:r>
      <w:r w:rsidRPr="00254017">
        <w:t>valsts finansējumu pedagogu darba samaksai</w:t>
      </w:r>
      <w:r>
        <w:t xml:space="preserve"> efektīvā izlietojumā, nodrošinot izglītības kvalitāti.</w:t>
      </w:r>
    </w:p>
    <w:p w:rsidR="00254017" w:rsidRDefault="007A78A9" w:rsidP="00254017">
      <w:pPr>
        <w:ind w:firstLine="0"/>
        <w:rPr>
          <w:b/>
        </w:rPr>
      </w:pPr>
      <w:r>
        <w:rPr>
          <w:b/>
        </w:rPr>
        <w:t>Modeļa "</w:t>
      </w:r>
      <w:r w:rsidR="00B37DB7">
        <w:rPr>
          <w:b/>
        </w:rPr>
        <w:t>Klase skolā</w:t>
      </w:r>
      <w:r>
        <w:rPr>
          <w:b/>
        </w:rPr>
        <w:t>"</w:t>
      </w:r>
      <w:r w:rsidR="00254017">
        <w:rPr>
          <w:b/>
        </w:rPr>
        <w:t xml:space="preserve"> vājās puses:</w:t>
      </w:r>
    </w:p>
    <w:p w:rsidR="00254017" w:rsidRPr="00254017" w:rsidRDefault="00254017" w:rsidP="00254017">
      <w:pPr>
        <w:pStyle w:val="ListParagraph"/>
        <w:numPr>
          <w:ilvl w:val="0"/>
          <w:numId w:val="13"/>
        </w:numPr>
      </w:pPr>
      <w:r>
        <w:t xml:space="preserve">Pašvaldība kā izglītības iestādes dibinātāja nav iesaistīta </w:t>
      </w:r>
      <w:r w:rsidRPr="00254017">
        <w:t>valsts fina</w:t>
      </w:r>
      <w:r>
        <w:t xml:space="preserve">nsējumu pedagogu darba samaksai </w:t>
      </w:r>
      <w:r w:rsidR="00E64E05">
        <w:t>sadalē izglītības iestādēm, līdz ar to nav motivēta veidot efektīvu izglītības iestāžu tīklu, lai nodrošinātu pe</w:t>
      </w:r>
      <w:r w:rsidR="009A7019">
        <w:t>dagogu darba samaksas pieaugumu;</w:t>
      </w:r>
    </w:p>
    <w:p w:rsidR="00FC6CEC" w:rsidRDefault="00E64E05" w:rsidP="00254017">
      <w:pPr>
        <w:pStyle w:val="ListParagraph"/>
        <w:numPr>
          <w:ilvl w:val="0"/>
          <w:numId w:val="13"/>
        </w:numPr>
      </w:pPr>
      <w:r>
        <w:t>Pašvaldība nav iesaistīta valsts papildfinansējuma pedagogu darba samaksi piešķiršanā izglītības iestādēm, kas nodrošina augstāku izglītības kvalitāti</w:t>
      </w:r>
      <w:r w:rsidR="00FC6CEC">
        <w:t>, t.i. „kvalitātes fonda” sadalē;</w:t>
      </w:r>
    </w:p>
    <w:p w:rsidR="00254017" w:rsidRDefault="00FC6CEC" w:rsidP="00254017">
      <w:pPr>
        <w:pStyle w:val="ListParagraph"/>
        <w:numPr>
          <w:ilvl w:val="0"/>
          <w:numId w:val="13"/>
        </w:numPr>
      </w:pPr>
      <w:r>
        <w:t>Valsts līmeņa finansējuma aprēķins apvienotajām klasēm nemotivē pašvaldības rast risinājumus optimāla izglītības iestāžu t</w:t>
      </w:r>
      <w:r w:rsidR="002D4473">
        <w:t>īkla izveidei;</w:t>
      </w:r>
    </w:p>
    <w:p w:rsidR="002D4473" w:rsidRDefault="002D4473" w:rsidP="002D4473">
      <w:pPr>
        <w:pStyle w:val="ListParagraph"/>
        <w:numPr>
          <w:ilvl w:val="0"/>
          <w:numId w:val="13"/>
        </w:numPr>
      </w:pPr>
      <w:r w:rsidRPr="002D4473">
        <w:t xml:space="preserve">Valsts finansējuma aprēķins </w:t>
      </w:r>
      <w:r>
        <w:t>izglītības iestādei</w:t>
      </w:r>
      <w:r w:rsidRPr="002D4473">
        <w:t xml:space="preserve"> tiešā veidā saistīts ar normatīvos noteikto zemāko darba algas likmi</w:t>
      </w:r>
      <w:r>
        <w:t>, līdz ar to zemākās darba algas likmes paaugstināšana tieši saistīta ar valsts papildfinansējuma piešķir</w:t>
      </w:r>
      <w:r w:rsidR="009A7019">
        <w:t>šanu;</w:t>
      </w:r>
    </w:p>
    <w:p w:rsidR="009A7019" w:rsidRPr="009A7019" w:rsidRDefault="009A7019" w:rsidP="009A7019">
      <w:pPr>
        <w:pStyle w:val="ListParagraph"/>
        <w:numPr>
          <w:ilvl w:val="0"/>
          <w:numId w:val="13"/>
        </w:numPr>
      </w:pPr>
      <w:r w:rsidRPr="009A7019">
        <w:t>Aprēķins saistīts ar optimālās klas</w:t>
      </w:r>
      <w:r>
        <w:t>es lielumu, bet realitātē skolā</w:t>
      </w:r>
      <w:r w:rsidRPr="009A7019">
        <w:t xml:space="preserve"> klases ir</w:t>
      </w:r>
      <w:r w:rsidR="00B37DB7">
        <w:t xml:space="preserve"> ar</w:t>
      </w:r>
      <w:r w:rsidRPr="009A7019">
        <w:t xml:space="preserve"> ļoti dažādu izglītojamo skaitu.</w:t>
      </w:r>
    </w:p>
    <w:p w:rsidR="009A7019" w:rsidRPr="002D4473" w:rsidRDefault="009A7019" w:rsidP="009A7019">
      <w:pPr>
        <w:pStyle w:val="ListParagraph"/>
        <w:ind w:left="1080" w:firstLine="0"/>
      </w:pPr>
    </w:p>
    <w:p w:rsidR="002D4473" w:rsidRPr="00254017" w:rsidRDefault="002D4473" w:rsidP="002D4473">
      <w:pPr>
        <w:pStyle w:val="ListParagraph"/>
        <w:ind w:left="1080" w:firstLine="0"/>
      </w:pPr>
    </w:p>
    <w:p w:rsidR="008C06A5" w:rsidRPr="00F45541" w:rsidRDefault="00C30E54" w:rsidP="00F45541">
      <w:pPr>
        <w:pStyle w:val="Heading2"/>
        <w:rPr>
          <w:sz w:val="28"/>
        </w:rPr>
      </w:pPr>
      <w:bookmarkStart w:id="8" w:name="_Toc81299622"/>
      <w:r>
        <w:rPr>
          <w:sz w:val="28"/>
        </w:rPr>
        <w:t>2</w:t>
      </w:r>
      <w:r w:rsidR="008C06A5" w:rsidRPr="00F45541">
        <w:rPr>
          <w:sz w:val="28"/>
        </w:rPr>
        <w:t>.</w:t>
      </w:r>
      <w:r>
        <w:rPr>
          <w:sz w:val="28"/>
        </w:rPr>
        <w:t>2</w:t>
      </w:r>
      <w:r w:rsidR="008C06A5" w:rsidRPr="00F45541">
        <w:rPr>
          <w:sz w:val="28"/>
        </w:rPr>
        <w:t xml:space="preserve">. Modelis Nr.2: </w:t>
      </w:r>
      <w:r w:rsidR="0011773D" w:rsidRPr="00F45541">
        <w:rPr>
          <w:sz w:val="28"/>
        </w:rPr>
        <w:t>Fi</w:t>
      </w:r>
      <w:r w:rsidR="008C06A5" w:rsidRPr="00F45541">
        <w:rPr>
          <w:sz w:val="28"/>
        </w:rPr>
        <w:t xml:space="preserve">nansējuma aprēķins mācību plānam normētai klasei pašvaldībā </w:t>
      </w:r>
      <w:r w:rsidR="007A78A9">
        <w:rPr>
          <w:sz w:val="28"/>
        </w:rPr>
        <w:t>– "</w:t>
      </w:r>
      <w:r w:rsidR="009847A9">
        <w:rPr>
          <w:sz w:val="28"/>
        </w:rPr>
        <w:t>Klase pašvaldībā</w:t>
      </w:r>
      <w:r w:rsidR="007A78A9">
        <w:rPr>
          <w:sz w:val="28"/>
        </w:rPr>
        <w:t>"</w:t>
      </w:r>
      <w:bookmarkEnd w:id="8"/>
    </w:p>
    <w:p w:rsidR="00401ACC" w:rsidRDefault="00401ACC" w:rsidP="008C06A5">
      <w:pPr>
        <w:ind w:firstLine="0"/>
      </w:pPr>
      <w:r>
        <w:rPr>
          <w:b/>
        </w:rPr>
        <w:tab/>
      </w:r>
      <w:r w:rsidRPr="00401ACC">
        <w:t>Ņemot vērā</w:t>
      </w:r>
      <w:r>
        <w:t xml:space="preserve"> auditoru ieteikumus un konsultējoties ar nozares ekspertiem, ministrija pilnveidojusi aprēķina modeli </w:t>
      </w:r>
      <w:r w:rsidRPr="00401ACC">
        <w:t>"Mācību plāna finansējums normētai klasei"</w:t>
      </w:r>
      <w:r>
        <w:t>,</w:t>
      </w:r>
      <w:r w:rsidRPr="00401ACC">
        <w:t xml:space="preserve"> </w:t>
      </w:r>
      <w:r>
        <w:t>aprēķinu veicot uz pašvaldību</w:t>
      </w:r>
      <w:r w:rsidR="00A90E88">
        <w:t>.</w:t>
      </w:r>
    </w:p>
    <w:p w:rsidR="00A90E88" w:rsidRDefault="00A90E88" w:rsidP="008C06A5">
      <w:pPr>
        <w:ind w:firstLine="0"/>
      </w:pPr>
      <w:r>
        <w:tab/>
      </w:r>
      <w:r w:rsidRPr="00A90E88">
        <w:t>Aprēķina modelis</w:t>
      </w:r>
      <w:r>
        <w:t xml:space="preserve"> Nr.2 tāpat</w:t>
      </w:r>
      <w:r w:rsidRPr="00A90E88">
        <w:t xml:space="preserve"> ir balstīts uz skolotāja darba stundu aprēķinu mācību plāna īste</w:t>
      </w:r>
      <w:r w:rsidR="009D4883">
        <w:t>nošanai noteikta lieluma klasei</w:t>
      </w:r>
      <w:r w:rsidRPr="00A90E88">
        <w:t xml:space="preserve"> jeb normētai klasei</w:t>
      </w:r>
      <w:r>
        <w:t>. Tāpat kā modelī Nr. 1 s</w:t>
      </w:r>
      <w:r w:rsidRPr="00A90E88">
        <w:t>kolotāja darba stundu skaits mācību plāna īstenošanai ir noteikts trijiem klases lielumiem: maza klase (</w:t>
      </w:r>
      <w:r w:rsidR="00372BB4">
        <w:t>izglītojamo</w:t>
      </w:r>
      <w:r w:rsidR="00372BB4" w:rsidRPr="00A90E88">
        <w:t xml:space="preserve"> </w:t>
      </w:r>
      <w:r w:rsidRPr="00A90E88">
        <w:t xml:space="preserve">skaits klasē 8-14 </w:t>
      </w:r>
      <w:r w:rsidR="008B2B03">
        <w:t>izglītojamie</w:t>
      </w:r>
      <w:r w:rsidRPr="00A90E88">
        <w:t>), vidēja klase (</w:t>
      </w:r>
      <w:r w:rsidR="008B2B03">
        <w:t>izglītojamo</w:t>
      </w:r>
      <w:r w:rsidR="008B2B03" w:rsidRPr="00A90E88">
        <w:t xml:space="preserve"> </w:t>
      </w:r>
      <w:r w:rsidRPr="00A90E88">
        <w:t xml:space="preserve">skaits klasē 15-20 </w:t>
      </w:r>
      <w:r w:rsidR="00372BB4">
        <w:t>izglītojamie</w:t>
      </w:r>
      <w:r w:rsidRPr="00A90E88">
        <w:t>) un liela klase (</w:t>
      </w:r>
      <w:r w:rsidR="008B2B03">
        <w:t>izglītojamo</w:t>
      </w:r>
      <w:r w:rsidR="008B2B03" w:rsidRPr="00A90E88">
        <w:t xml:space="preserve"> </w:t>
      </w:r>
      <w:r w:rsidRPr="00A90E88">
        <w:t xml:space="preserve">skaits klasē vairāk par 21). </w:t>
      </w:r>
      <w:r>
        <w:t xml:space="preserve">Atšķirībā no </w:t>
      </w:r>
      <w:r w:rsidRPr="00A90E88">
        <w:t>mode</w:t>
      </w:r>
      <w:r>
        <w:t>ļa</w:t>
      </w:r>
      <w:r w:rsidRPr="00A90E88">
        <w:t xml:space="preserve"> Nr. 1 </w:t>
      </w:r>
      <w:r>
        <w:t>r</w:t>
      </w:r>
      <w:r w:rsidRPr="00A90E88">
        <w:t xml:space="preserve">eālais </w:t>
      </w:r>
      <w:r w:rsidR="008B2B03">
        <w:t xml:space="preserve">izglītojamo </w:t>
      </w:r>
      <w:r w:rsidRPr="00A90E88">
        <w:t>skaits tiek normēts</w:t>
      </w:r>
      <w:r>
        <w:t xml:space="preserve"> </w:t>
      </w:r>
      <w:r w:rsidRPr="00A90E88">
        <w:rPr>
          <w:b/>
        </w:rPr>
        <w:t>kopumā pašvaldībā</w:t>
      </w:r>
      <w:r>
        <w:rPr>
          <w:b/>
        </w:rPr>
        <w:t xml:space="preserve"> </w:t>
      </w:r>
      <w:r w:rsidRPr="00A21E09">
        <w:t>(</w:t>
      </w:r>
      <w:r w:rsidR="006353C5" w:rsidRPr="00A21E09">
        <w:t>2</w:t>
      </w:r>
      <w:r w:rsidRPr="00A21E09">
        <w:t>.pielikums),</w:t>
      </w:r>
      <w:r w:rsidRPr="00A90E88">
        <w:t xml:space="preserve"> izmantojot optimālas klases lielumu</w:t>
      </w:r>
      <w:r>
        <w:t>s</w:t>
      </w:r>
      <w:r w:rsidRPr="00A90E88">
        <w:t xml:space="preserve">: 1.-6. klasei </w:t>
      </w:r>
      <w:r w:rsidRPr="00A90E88">
        <w:lastRenderedPageBreak/>
        <w:t xml:space="preserve">20 </w:t>
      </w:r>
      <w:r w:rsidR="008B2B03">
        <w:t>izglītojamie</w:t>
      </w:r>
      <w:r w:rsidR="00ED4BC6">
        <w:t>, 7.-</w:t>
      </w:r>
      <w:r w:rsidRPr="00A90E88">
        <w:t xml:space="preserve">12. klase 25 </w:t>
      </w:r>
      <w:r w:rsidR="008B2B03">
        <w:t>izglītojamie</w:t>
      </w:r>
      <w:r w:rsidR="008B2B03" w:rsidRPr="00A90E88">
        <w:t xml:space="preserve"> </w:t>
      </w:r>
      <w:r w:rsidRPr="00A90E88">
        <w:t xml:space="preserve">un klasei, kurā visi </w:t>
      </w:r>
      <w:r w:rsidR="008B2B03">
        <w:t>izglītojamie</w:t>
      </w:r>
      <w:r w:rsidR="008B2B03" w:rsidRPr="00A90E88">
        <w:t xml:space="preserve"> </w:t>
      </w:r>
      <w:r w:rsidRPr="00A90E88">
        <w:t>apgūst speciālās izglītības programmu</w:t>
      </w:r>
      <w:r w:rsidR="00ED4BC6">
        <w:t xml:space="preserve">, </w:t>
      </w:r>
      <w:r w:rsidR="00A57A44">
        <w:t>–</w:t>
      </w:r>
      <w:r w:rsidRPr="00A90E88">
        <w:t xml:space="preserve"> 12 </w:t>
      </w:r>
      <w:r w:rsidR="008B2B03">
        <w:t>izglītojamie</w:t>
      </w:r>
      <w:r w:rsidRPr="00A90E88">
        <w:t>.</w:t>
      </w:r>
      <w:r w:rsidR="00E33F3E">
        <w:t xml:space="preserve"> Arī skolotāju slodžu skaits un finansējums mācību plānam, kā arī papildfinansējums normatīvajā regulējumā noteiktajām piemaksām, skolu administrācijas un atbalsta personāla darba samaksai, tiek aprēķināts kopumā uz pašvaldību. </w:t>
      </w:r>
    </w:p>
    <w:p w:rsidR="00E33F3E" w:rsidRDefault="00E33F3E" w:rsidP="008C06A5">
      <w:pPr>
        <w:ind w:firstLine="0"/>
      </w:pPr>
      <w:r>
        <w:tab/>
        <w:t>Normatīvajā regulējumā plānots noteikt, ka:</w:t>
      </w:r>
    </w:p>
    <w:p w:rsidR="00E33F3E" w:rsidRDefault="00E33F3E" w:rsidP="00A0536E">
      <w:pPr>
        <w:pStyle w:val="ListParagraph"/>
        <w:numPr>
          <w:ilvl w:val="0"/>
          <w:numId w:val="1"/>
        </w:numPr>
      </w:pPr>
      <w:r>
        <w:t xml:space="preserve">Pašvaldība sadala valsts finansējumu pedagogu darba samaksai, atbilstoši pašvaldībā izstrādātajai un apstiprinātajai mērķdotācijas </w:t>
      </w:r>
      <w:r w:rsidR="00A86664">
        <w:t xml:space="preserve">sadales </w:t>
      </w:r>
      <w:r>
        <w:t>kārtībai, ņemot vērā normatīvajā regulējumā noteikto zemāko pedagogu darba algas likmi, pedagogu darba slodzes lielumu</w:t>
      </w:r>
      <w:r w:rsidR="00A4615A">
        <w:t>;</w:t>
      </w:r>
    </w:p>
    <w:p w:rsidR="00A4615A" w:rsidRDefault="00A4615A" w:rsidP="00A0536E">
      <w:pPr>
        <w:pStyle w:val="ListParagraph"/>
        <w:numPr>
          <w:ilvl w:val="0"/>
          <w:numId w:val="1"/>
        </w:numPr>
      </w:pPr>
      <w:r>
        <w:t>Pašvaldībai ir pienākums papildfinansējumu, kas paredzēts izglītojamo ar speciālām vajadzībām mācību procesa nodrošināšanai, izmantot tikai minētajam mērķim, kā arī nodrošināt atbalsta personāla pieejamību visiem izglītojamiem.</w:t>
      </w:r>
    </w:p>
    <w:p w:rsidR="00A4615A" w:rsidRDefault="00A4615A" w:rsidP="00A0536E">
      <w:pPr>
        <w:pStyle w:val="ListParagraph"/>
        <w:numPr>
          <w:ilvl w:val="0"/>
          <w:numId w:val="1"/>
        </w:numPr>
      </w:pPr>
      <w:r>
        <w:t>Pašvaldībai ir tiesības no ap</w:t>
      </w:r>
      <w:r w:rsidR="00A57A44">
        <w:t>rēķinātās mērķdotācijas veidot "</w:t>
      </w:r>
      <w:r>
        <w:t>kvalitātes fondu</w:t>
      </w:r>
      <w:r w:rsidR="00A57A44">
        <w:t>"</w:t>
      </w:r>
      <w:r>
        <w:t xml:space="preserve"> 1% apjomā no kopējās aprēķinātās mērķdotācijas, kas sadalām</w:t>
      </w:r>
      <w:r w:rsidR="00A86664">
        <w:t>a</w:t>
      </w:r>
      <w:r>
        <w:t xml:space="preserve"> papildus izglītības iestādēm, kas nodrošina augstākus izglītības procesa rezultātus saskaņā ar valstī apstiprinātiem kritērijiem.</w:t>
      </w:r>
    </w:p>
    <w:p w:rsidR="00A4615A" w:rsidRPr="00FC6CEC" w:rsidRDefault="00A4615A" w:rsidP="00A45217">
      <w:pPr>
        <w:ind w:firstLine="0"/>
        <w:rPr>
          <w:b/>
        </w:rPr>
      </w:pPr>
      <w:r w:rsidRPr="00FC6CEC">
        <w:rPr>
          <w:b/>
        </w:rPr>
        <w:t xml:space="preserve">Modeļa Nr. 2 </w:t>
      </w:r>
      <w:r w:rsidR="007A78A9">
        <w:rPr>
          <w:b/>
        </w:rPr>
        <w:t xml:space="preserve"> - "</w:t>
      </w:r>
      <w:r w:rsidR="009847A9" w:rsidRPr="009847A9">
        <w:rPr>
          <w:b/>
        </w:rPr>
        <w:t>Klase pašvaldībā</w:t>
      </w:r>
      <w:r w:rsidR="007A78A9">
        <w:rPr>
          <w:b/>
        </w:rPr>
        <w:t>"</w:t>
      </w:r>
      <w:r w:rsidR="00FC6CEC" w:rsidRPr="00FC6CEC">
        <w:rPr>
          <w:b/>
        </w:rPr>
        <w:t xml:space="preserve"> priekšrocības: </w:t>
      </w:r>
    </w:p>
    <w:p w:rsidR="00A4615A" w:rsidRDefault="00A4615A" w:rsidP="00A0536E">
      <w:pPr>
        <w:pStyle w:val="ListParagraph"/>
        <w:numPr>
          <w:ilvl w:val="0"/>
          <w:numId w:val="2"/>
        </w:numPr>
      </w:pPr>
      <w:r>
        <w:t>Motivē pašvaldības</w:t>
      </w:r>
      <w:r w:rsidR="00560532">
        <w:t xml:space="preserve"> kā izglītības iestāžu dibinātājas</w:t>
      </w:r>
      <w:r>
        <w:t xml:space="preserve"> veidot optimālu skolu tīklu un skolotāju/</w:t>
      </w:r>
      <w:r w:rsidR="008B2B03">
        <w:t>izglītojamo</w:t>
      </w:r>
      <w:r>
        <w:t xml:space="preserve"> proporciju, jo </w:t>
      </w:r>
      <w:r w:rsidR="00560532">
        <w:t>tas ļauj palielināt pašvaldības pedagogu atalgojumu, palielinot gan algas likmi, gan nodrošinot optimālu noslodzi.</w:t>
      </w:r>
    </w:p>
    <w:p w:rsidR="004D0FF1" w:rsidRDefault="00560532" w:rsidP="00A0536E">
      <w:pPr>
        <w:pStyle w:val="ListParagraph"/>
        <w:numPr>
          <w:ilvl w:val="0"/>
          <w:numId w:val="2"/>
        </w:numPr>
      </w:pPr>
      <w:r>
        <w:t>Ļauj pašvaldībai efektīvāk izlietot mērķdotāciju atbalsta nodrošināšanai izglītojamiem ar speciālām vajadzībām</w:t>
      </w:r>
      <w:r w:rsidR="004D0FF1">
        <w:t>.</w:t>
      </w:r>
    </w:p>
    <w:p w:rsidR="00560532" w:rsidRDefault="00ED4BC6" w:rsidP="00A0536E">
      <w:pPr>
        <w:pStyle w:val="ListParagraph"/>
        <w:numPr>
          <w:ilvl w:val="0"/>
          <w:numId w:val="2"/>
        </w:numPr>
      </w:pPr>
      <w:r>
        <w:t>P</w:t>
      </w:r>
      <w:r w:rsidR="004D0FF1">
        <w:t>alielina pašvaldības atbildību par izglītības iestāžu sniegtās izglītības kvalitāti.</w:t>
      </w:r>
      <w:r w:rsidR="00560532">
        <w:t xml:space="preserve"> </w:t>
      </w:r>
    </w:p>
    <w:p w:rsidR="00FC6CEC" w:rsidRDefault="00FC6CEC" w:rsidP="00FC6CEC">
      <w:pPr>
        <w:ind w:firstLine="0"/>
        <w:rPr>
          <w:b/>
        </w:rPr>
      </w:pPr>
      <w:r w:rsidRPr="00FC6CEC">
        <w:rPr>
          <w:b/>
        </w:rPr>
        <w:t xml:space="preserve">Modeļa </w:t>
      </w:r>
      <w:r>
        <w:rPr>
          <w:b/>
        </w:rPr>
        <w:t>Nr.</w:t>
      </w:r>
      <w:r w:rsidR="009B14E2">
        <w:rPr>
          <w:b/>
        </w:rPr>
        <w:t>2</w:t>
      </w:r>
      <w:r>
        <w:rPr>
          <w:b/>
        </w:rPr>
        <w:t xml:space="preserve"> </w:t>
      </w:r>
      <w:r w:rsidR="007A78A9">
        <w:rPr>
          <w:b/>
        </w:rPr>
        <w:t>–</w:t>
      </w:r>
      <w:r w:rsidR="00A868DE">
        <w:rPr>
          <w:b/>
        </w:rPr>
        <w:t xml:space="preserve"> </w:t>
      </w:r>
      <w:r w:rsidR="007A78A9">
        <w:rPr>
          <w:b/>
        </w:rPr>
        <w:t>"</w:t>
      </w:r>
      <w:r w:rsidR="009847A9" w:rsidRPr="009847A9">
        <w:rPr>
          <w:b/>
        </w:rPr>
        <w:t>Klase pašvaldībā</w:t>
      </w:r>
      <w:r w:rsidR="007A78A9">
        <w:rPr>
          <w:b/>
        </w:rPr>
        <w:t>"</w:t>
      </w:r>
      <w:r w:rsidRPr="00FC6CEC">
        <w:rPr>
          <w:b/>
        </w:rPr>
        <w:t xml:space="preserve"> vājās puses:</w:t>
      </w:r>
    </w:p>
    <w:p w:rsidR="00294C2C" w:rsidRDefault="002D4473" w:rsidP="00294C2C">
      <w:pPr>
        <w:pStyle w:val="ListParagraph"/>
        <w:numPr>
          <w:ilvl w:val="0"/>
          <w:numId w:val="14"/>
        </w:numPr>
      </w:pPr>
      <w:r>
        <w:t>Valsts finansējuma aprēķins pašvaldībai tiešā veidā saistīts ar normatīvos noteikto zemāko darba algas likmi</w:t>
      </w:r>
      <w:r w:rsidR="00294C2C">
        <w:t>,</w:t>
      </w:r>
      <w:r w:rsidR="00294C2C" w:rsidRPr="00294C2C">
        <w:t xml:space="preserve"> līdz ar to zemākās darba algas likmes paaugstināšana tieši saistīta ar valsts papildfinansējuma piešķiršanu.</w:t>
      </w:r>
    </w:p>
    <w:p w:rsidR="003168E3" w:rsidRPr="00294C2C" w:rsidRDefault="009A7019" w:rsidP="00A45217">
      <w:pPr>
        <w:pStyle w:val="ListParagraph"/>
        <w:numPr>
          <w:ilvl w:val="0"/>
          <w:numId w:val="14"/>
        </w:numPr>
      </w:pPr>
      <w:r>
        <w:t>Aprēķins saistīts ar optimālās klases lielumu, bet realitātē skolās klases ir ļoti dažādu izglītojamo skaitu.</w:t>
      </w:r>
    </w:p>
    <w:p w:rsidR="008C06A5" w:rsidRPr="00F45541" w:rsidRDefault="00C30E54" w:rsidP="00F45541">
      <w:pPr>
        <w:pStyle w:val="Heading2"/>
        <w:rPr>
          <w:sz w:val="28"/>
        </w:rPr>
      </w:pPr>
      <w:bookmarkStart w:id="9" w:name="_Toc81299623"/>
      <w:r>
        <w:rPr>
          <w:sz w:val="28"/>
        </w:rPr>
        <w:t>2</w:t>
      </w:r>
      <w:r w:rsidR="0011773D" w:rsidRPr="00F45541">
        <w:rPr>
          <w:sz w:val="28"/>
        </w:rPr>
        <w:t>.</w:t>
      </w:r>
      <w:r>
        <w:rPr>
          <w:sz w:val="28"/>
        </w:rPr>
        <w:t>3</w:t>
      </w:r>
      <w:r w:rsidR="0011773D" w:rsidRPr="00F45541">
        <w:rPr>
          <w:sz w:val="28"/>
        </w:rPr>
        <w:t>. Modelis Nr.3: Finansējuma aprēķins pašvaldībai pedagogu darba samaksai uz vienu izglītojamo</w:t>
      </w:r>
      <w:r w:rsidR="00A868DE">
        <w:rPr>
          <w:sz w:val="28"/>
        </w:rPr>
        <w:t xml:space="preserve"> </w:t>
      </w:r>
      <w:r w:rsidR="007A78A9">
        <w:rPr>
          <w:sz w:val="28"/>
        </w:rPr>
        <w:t>– "</w:t>
      </w:r>
      <w:r w:rsidR="009847A9">
        <w:rPr>
          <w:sz w:val="28"/>
        </w:rPr>
        <w:t>Skolēns pašvaldībā</w:t>
      </w:r>
      <w:r w:rsidR="007A78A9">
        <w:rPr>
          <w:sz w:val="28"/>
        </w:rPr>
        <w:t>"</w:t>
      </w:r>
      <w:bookmarkEnd w:id="9"/>
    </w:p>
    <w:p w:rsidR="004A0A86" w:rsidRDefault="0011773D" w:rsidP="008C06A5">
      <w:pPr>
        <w:ind w:firstLine="0"/>
      </w:pPr>
      <w:r>
        <w:rPr>
          <w:b/>
        </w:rPr>
        <w:tab/>
      </w:r>
      <w:r w:rsidR="00CF4B7C" w:rsidRPr="00CF4B7C">
        <w:t>Abi</w:t>
      </w:r>
      <w:r w:rsidR="00CF4B7C">
        <w:rPr>
          <w:b/>
        </w:rPr>
        <w:t xml:space="preserve"> </w:t>
      </w:r>
      <w:r w:rsidR="00CF4B7C">
        <w:t>i</w:t>
      </w:r>
      <w:r w:rsidRPr="0011773D">
        <w:t xml:space="preserve">epriekš </w:t>
      </w:r>
      <w:r w:rsidR="00CF4B7C">
        <w:t>aprakstītie valsts finansējuma aprēķina pedagogu darba samaksai</w:t>
      </w:r>
      <w:r w:rsidR="00CF4B7C" w:rsidRPr="00CF4B7C">
        <w:t xml:space="preserve"> </w:t>
      </w:r>
      <w:r w:rsidR="00CF4B7C">
        <w:t xml:space="preserve">modeļi ir saistīti ar optimālās klases lielumu un aprēķināto skolotāju darba likmju skaitu. Realitātē skolās dažādu apsvērumu dēļ (klasēs iekļauti izglītojamie ar speciālām vajadzībām, telpu ietilpība, u.c.) tiek veidotas klases ar ļoti atšķirīgu izglītojamo skaitu. Būtisks apstāklis ir arī tas, ka VIIS datu analīze </w:t>
      </w:r>
      <w:r w:rsidR="00CF4B7C" w:rsidRPr="00A21E09">
        <w:t>(</w:t>
      </w:r>
      <w:r w:rsidR="00294C2C" w:rsidRPr="00A21E09">
        <w:t>1</w:t>
      </w:r>
      <w:r w:rsidR="00CF4B7C" w:rsidRPr="00A21E09">
        <w:t>.attēls</w:t>
      </w:r>
      <w:r w:rsidR="00CF4B7C">
        <w:t xml:space="preserve">) parādīja, ka </w:t>
      </w:r>
      <w:r w:rsidR="004A0A86">
        <w:t>2020./2021.</w:t>
      </w:r>
      <w:r w:rsidR="00ED4BC6">
        <w:t xml:space="preserve">mācību gadā </w:t>
      </w:r>
      <w:r w:rsidR="004A0A86" w:rsidRPr="004A0A86">
        <w:t>76% pašvaldību vispārizglītojošo skolu skolotāju darba algas likme "apsteidz</w:t>
      </w:r>
      <w:r w:rsidR="003F4DE1">
        <w:t>a</w:t>
      </w:r>
      <w:r w:rsidR="004A0A86" w:rsidRPr="004A0A86">
        <w:t>" indikatīvo pedagogu darba samaksas pieauguma grafiku laikposmam no 2018. gada 1. septembra līdz 2022. gada 31. decembrim.</w:t>
      </w:r>
      <w:r w:rsidR="004A0A86">
        <w:t xml:space="preserve"> Tas nozīmē, ka valsts finansējuma </w:t>
      </w:r>
      <w:r w:rsidR="004A0A86" w:rsidRPr="004A0A86">
        <w:t xml:space="preserve">pedagogu darba samaksai </w:t>
      </w:r>
      <w:r w:rsidR="004A0A86">
        <w:t>aprēķina sasaiste ar zemāko darba algas likmi neatbilst reālajam pedagogu algas likmes pieaugumam.</w:t>
      </w:r>
    </w:p>
    <w:p w:rsidR="00ED4BC6" w:rsidRPr="00ED4BC6" w:rsidRDefault="004A0A86" w:rsidP="0003563B">
      <w:pPr>
        <w:ind w:firstLine="0"/>
      </w:pPr>
      <w:r>
        <w:lastRenderedPageBreak/>
        <w:tab/>
        <w:t xml:space="preserve">Lai radītu iespēju zemākās pedagogu darba algas likmes pieaugumu tuvināt reālajam pedagogu algas likmes kāpumam, kā arī </w:t>
      </w:r>
      <w:r w:rsidR="00C209E9">
        <w:t xml:space="preserve">lai </w:t>
      </w:r>
      <w:r>
        <w:t>palielināt</w:t>
      </w:r>
      <w:r w:rsidR="00C209E9">
        <w:t>u</w:t>
      </w:r>
      <w:r>
        <w:t xml:space="preserve"> pašvald</w:t>
      </w:r>
      <w:r w:rsidR="00C209E9">
        <w:t>ības kā izglītības iestādes dibinātājas</w:t>
      </w:r>
      <w:r>
        <w:t xml:space="preserve"> lomu un iesaisti kvalitatīvas izglītības nodrošināšanā un pedagogu darba samaksas straujākā kāpināšanā</w:t>
      </w:r>
      <w:r w:rsidR="00C209E9">
        <w:t xml:space="preserve">, ministrijā, konsultējoties ar nozares ekspertiem, izstrādāts modelis </w:t>
      </w:r>
      <w:r w:rsidR="00A57A44">
        <w:t>"</w:t>
      </w:r>
      <w:r w:rsidR="00C209E9" w:rsidRPr="00C209E9">
        <w:t>Finansējuma aprēķins pašvaldībai pedagogu darba samaksai uz vienu izglītojamo</w:t>
      </w:r>
      <w:r w:rsidR="00A57A44">
        <w:t>"</w:t>
      </w:r>
      <w:r w:rsidR="000F3032">
        <w:t>. Par pamatu finansējuma aprēķinam izmantots 202</w:t>
      </w:r>
      <w:r w:rsidR="004B1BFC">
        <w:t>0</w:t>
      </w:r>
      <w:r w:rsidR="000F3032">
        <w:t>. gada 1.septembrī spēkā esošais normatīvais regulējums par</w:t>
      </w:r>
      <w:r w:rsidR="000F3032" w:rsidRPr="000F3032">
        <w:t xml:space="preserve"> kārtību, kādā aprēķina un sadala valsts budžeta mērķdotāciju</w:t>
      </w:r>
      <w:r w:rsidR="000F3032">
        <w:t xml:space="preserve"> </w:t>
      </w:r>
      <w:r w:rsidR="000F3032" w:rsidRPr="000F3032">
        <w:t xml:space="preserve">pašvaldību vispārējās pamatizglītības un vispārējās vidējās izglītības </w:t>
      </w:r>
      <w:r w:rsidR="004B1BFC">
        <w:t xml:space="preserve">iestāžu </w:t>
      </w:r>
      <w:r w:rsidR="000F3032" w:rsidRPr="000F3032">
        <w:t xml:space="preserve">pedagogu </w:t>
      </w:r>
      <w:r w:rsidR="000F3032">
        <w:t>darba samaksai</w:t>
      </w:r>
      <w:r w:rsidR="000F3032">
        <w:rPr>
          <w:rStyle w:val="FootnoteReference"/>
        </w:rPr>
        <w:footnoteReference w:id="15"/>
      </w:r>
      <w:r w:rsidR="00C54766">
        <w:t xml:space="preserve">, </w:t>
      </w:r>
      <w:r w:rsidR="00BC6EDF">
        <w:t>mērķdotācijas</w:t>
      </w:r>
      <w:r w:rsidR="00C54766">
        <w:t xml:space="preserve"> a</w:t>
      </w:r>
      <w:r w:rsidR="003F4DE1">
        <w:t>pjoms</w:t>
      </w:r>
      <w:r w:rsidR="004B1BFC">
        <w:t xml:space="preserve"> katrai pašvaldības</w:t>
      </w:r>
      <w:r w:rsidR="00C54766">
        <w:t xml:space="preserve"> vispārizglītojošai skolai (izņemot speciālās skolas) vienam mēnesim 2021. gada janvārim-augustam</w:t>
      </w:r>
      <w:r w:rsidR="00C54766">
        <w:rPr>
          <w:rStyle w:val="FootnoteReference"/>
        </w:rPr>
        <w:footnoteReference w:id="16"/>
      </w:r>
      <w:r w:rsidR="00BC6EDF">
        <w:t xml:space="preserve">, kā arī </w:t>
      </w:r>
      <w:r w:rsidR="008B2B03">
        <w:t xml:space="preserve">izglītojamo </w:t>
      </w:r>
      <w:r w:rsidR="00BC6EDF">
        <w:t>skaits pašvaldību vispārizglītojošās skolās dažādos izglītību programmu veidos 2020. gada 1. septembrī.</w:t>
      </w:r>
    </w:p>
    <w:p w:rsidR="0026364D" w:rsidRDefault="007A78A9" w:rsidP="0026364D">
      <w:r>
        <w:t>"</w:t>
      </w:r>
      <w:r w:rsidR="0026364D" w:rsidRPr="0026364D">
        <w:t>Skolēns pašvaldībā</w:t>
      </w:r>
      <w:r>
        <w:t>"</w:t>
      </w:r>
      <w:r w:rsidR="0026364D" w:rsidRPr="0026364D">
        <w:t xml:space="preserve"> – valsts finansējuma (mērķdotācijas) aprēķins </w:t>
      </w:r>
      <w:r w:rsidR="0026364D" w:rsidRPr="0026364D">
        <w:rPr>
          <w:b/>
        </w:rPr>
        <w:t>pašvaldībai</w:t>
      </w:r>
      <w:r w:rsidR="0026364D" w:rsidRPr="0026364D">
        <w:t xml:space="preserve"> pedagogu darba samaksai uz vienu izglītojamo.</w:t>
      </w:r>
    </w:p>
    <w:p w:rsidR="00EE6AB7" w:rsidRDefault="0026364D" w:rsidP="00571C23">
      <w:r>
        <w:t>Modeļa Nr. 3 ieviešanai no 01.09.2022. mērķdotācija</w:t>
      </w:r>
      <w:r w:rsidRPr="0026364D">
        <w:t xml:space="preserve"> uz vienu izglītojamo pašvaldībā </w:t>
      </w:r>
      <w:r>
        <w:t>aprēķināta, izmantojot šādu algoritmu</w:t>
      </w:r>
      <w:r w:rsidR="00EE6AB7">
        <w:t>:</w:t>
      </w:r>
    </w:p>
    <w:p w:rsidR="0026364D" w:rsidRDefault="0026364D" w:rsidP="00571C23">
      <w:r>
        <w:t>1.</w:t>
      </w:r>
      <w:r w:rsidR="00BE2122">
        <w:t xml:space="preserve"> </w:t>
      </w:r>
      <w:r w:rsidRPr="0026364D">
        <w:t xml:space="preserve">Aprēķina mērķdotāciju </w:t>
      </w:r>
      <w:r w:rsidRPr="0026364D">
        <w:rPr>
          <w:b/>
        </w:rPr>
        <w:t>katrai skolai</w:t>
      </w:r>
      <w:r w:rsidRPr="0026364D">
        <w:t>, izmantojot 2020</w:t>
      </w:r>
      <w:r>
        <w:t>. gada 1.septembrī spēkā esošo normatīvo regulējumu</w:t>
      </w:r>
      <w:r w:rsidRPr="0026364D">
        <w:t xml:space="preserve"> par kārtību, kādā aprēķina un sadala valsts budžeta mērķdotāciju, izglītojamo skaitu 01.09.2020. un pedagogu algas likmes vērtību 900 </w:t>
      </w:r>
      <w:r w:rsidRPr="0026364D">
        <w:rPr>
          <w:i/>
        </w:rPr>
        <w:t>euro</w:t>
      </w:r>
      <w:r w:rsidRPr="0026364D">
        <w:t>.</w:t>
      </w:r>
    </w:p>
    <w:p w:rsidR="00BE2122" w:rsidRDefault="00BE2122" w:rsidP="00571C23">
      <w:r>
        <w:t xml:space="preserve">2. </w:t>
      </w:r>
      <w:r w:rsidRPr="00BE2122">
        <w:t xml:space="preserve">No iegūtā aprēķina atrod vidējo mērķdotāciju uz vienu 1.-6.klases, 7.-9.klases un 10.-12.klases izglītojamo, kas apgūst klātienē vispārizglītojošo programmu, </w:t>
      </w:r>
      <w:r>
        <w:rPr>
          <w:b/>
        </w:rPr>
        <w:t xml:space="preserve">katrā </w:t>
      </w:r>
      <w:r w:rsidRPr="00BE2122">
        <w:rPr>
          <w:b/>
        </w:rPr>
        <w:t>pašvaldībā</w:t>
      </w:r>
      <w:r w:rsidRPr="00BE2122">
        <w:t xml:space="preserve"> </w:t>
      </w:r>
      <w:r w:rsidR="00A21E09">
        <w:t>(3.pielikums).</w:t>
      </w:r>
    </w:p>
    <w:p w:rsidR="00BE2122" w:rsidRDefault="00BE2122" w:rsidP="00BE2122">
      <w:r>
        <w:t>3. Izmantojot izglītojamo skaitu dienas programmās 1.-12.klasē uz vienu pašvaldības teritorijas km</w:t>
      </w:r>
      <w:r w:rsidRPr="00BE2122">
        <w:rPr>
          <w:vertAlign w:val="superscript"/>
        </w:rPr>
        <w:t>2</w:t>
      </w:r>
      <w:r w:rsidR="00A21E09">
        <w:rPr>
          <w:vertAlign w:val="superscript"/>
        </w:rPr>
        <w:t xml:space="preserve"> </w:t>
      </w:r>
      <w:r w:rsidR="00A21E09">
        <w:t>(</w:t>
      </w:r>
      <w:r w:rsidR="00A21E09" w:rsidRPr="00A21E09">
        <w:t>4.pielikums</w:t>
      </w:r>
      <w:r>
        <w:t>), no pašvaldībām izveido 4 grupas:</w:t>
      </w:r>
    </w:p>
    <w:p w:rsidR="00BE2122" w:rsidRDefault="00BE2122" w:rsidP="00BE2122">
      <w:pPr>
        <w:pStyle w:val="ListParagraph"/>
        <w:numPr>
          <w:ilvl w:val="0"/>
          <w:numId w:val="19"/>
        </w:numPr>
      </w:pPr>
      <w:r>
        <w:t xml:space="preserve">Rīga, </w:t>
      </w:r>
    </w:p>
    <w:p w:rsidR="00BE2122" w:rsidRDefault="00BE2122" w:rsidP="00BE2122">
      <w:pPr>
        <w:pStyle w:val="ListParagraph"/>
        <w:numPr>
          <w:ilvl w:val="0"/>
          <w:numId w:val="19"/>
        </w:numPr>
      </w:pPr>
      <w:r>
        <w:t>valstspilsētas, kurām nav pievienoti novadi (Liepāja, Ventspils, Jelgava, Rēzekne, Daugavpils),</w:t>
      </w:r>
    </w:p>
    <w:p w:rsidR="00BE2122" w:rsidRDefault="00261F02" w:rsidP="00261F02">
      <w:pPr>
        <w:pStyle w:val="ListParagraph"/>
        <w:numPr>
          <w:ilvl w:val="0"/>
          <w:numId w:val="19"/>
        </w:numPr>
      </w:pPr>
      <w:r>
        <w:t>z</w:t>
      </w:r>
      <w:r w:rsidRPr="00261F02">
        <w:t>emā blīvuma novadi</w:t>
      </w:r>
      <w:r>
        <w:t xml:space="preserve"> -</w:t>
      </w:r>
      <w:r w:rsidRPr="00261F02">
        <w:t xml:space="preserve"> </w:t>
      </w:r>
      <w:r w:rsidR="00BE2122">
        <w:t xml:space="preserve">pašvaldības, kuru administratīvajā teritorijā izglītojamo skaits (klātienes izglītības ieguves formā īstenotajās vispārējās izglītības programmās) ir viens izglītojamais uz vienu kvadrātkilometru un mazāk,  </w:t>
      </w:r>
    </w:p>
    <w:p w:rsidR="00BE2122" w:rsidRDefault="00BE2122" w:rsidP="00BE2122">
      <w:pPr>
        <w:pStyle w:val="ListParagraph"/>
        <w:numPr>
          <w:ilvl w:val="0"/>
          <w:numId w:val="19"/>
        </w:numPr>
      </w:pPr>
      <w:r>
        <w:t>pārējās pašvaldības.</w:t>
      </w:r>
    </w:p>
    <w:p w:rsidR="00BE2122" w:rsidRDefault="00B47039" w:rsidP="00B47039">
      <w:r>
        <w:t xml:space="preserve">4. </w:t>
      </w:r>
      <w:r w:rsidR="00BE2122" w:rsidRPr="00BE2122">
        <w:t>Attiecīgi katr</w:t>
      </w:r>
      <w:r w:rsidR="00BE2122">
        <w:t>ā pašvaldību grupā tiek noteikta</w:t>
      </w:r>
      <w:r w:rsidR="00BE2122" w:rsidRPr="00BE2122">
        <w:t xml:space="preserve"> vidējā mērķdotācija vienam 1.-6.klases, 7.-9.klases un 10.-12.klases izglītojamam (</w:t>
      </w:r>
      <w:r w:rsidR="00BE2122" w:rsidRPr="00B47039">
        <w:rPr>
          <w:i/>
        </w:rPr>
        <w:t>euro</w:t>
      </w:r>
      <w:r w:rsidR="003D33F0">
        <w:t xml:space="preserve"> mēnesī).</w:t>
      </w:r>
    </w:p>
    <w:p w:rsidR="00B47039" w:rsidRDefault="003D33F0" w:rsidP="00B47039">
      <w:pPr>
        <w:pStyle w:val="ListParagraph"/>
        <w:spacing w:after="0"/>
        <w:ind w:firstLine="0"/>
        <w:jc w:val="right"/>
      </w:pPr>
      <w:r w:rsidRPr="00A21E09">
        <w:lastRenderedPageBreak/>
        <w:t>4.tabula</w:t>
      </w:r>
      <w:r>
        <w:t>:</w:t>
      </w:r>
      <w:r w:rsidR="00F6240B">
        <w:t>Vidējā m</w:t>
      </w:r>
      <w:r>
        <w:t xml:space="preserve">ērķdotācija vienam </w:t>
      </w:r>
      <w:r w:rsidR="00B47039">
        <w:t>izglītojamam</w:t>
      </w:r>
    </w:p>
    <w:p w:rsidR="003D33F0" w:rsidRDefault="00B47039" w:rsidP="00B47039">
      <w:pPr>
        <w:pStyle w:val="ListParagraph"/>
        <w:spacing w:after="0"/>
        <w:ind w:firstLine="0"/>
        <w:jc w:val="right"/>
      </w:pPr>
      <w:r w:rsidRPr="00B47039">
        <w:rPr>
          <w:i/>
        </w:rPr>
        <w:t xml:space="preserve"> </w:t>
      </w:r>
      <w:r w:rsidRPr="00B47039">
        <w:rPr>
          <w:b/>
          <w:i/>
        </w:rPr>
        <w:t>euro</w:t>
      </w:r>
      <w:r>
        <w:t xml:space="preserve"> mēnesī</w:t>
      </w:r>
    </w:p>
    <w:tbl>
      <w:tblPr>
        <w:tblW w:w="9354" w:type="dxa"/>
        <w:tblInd w:w="15" w:type="dxa"/>
        <w:tblLook w:val="04A0" w:firstRow="1" w:lastRow="0" w:firstColumn="1" w:lastColumn="0" w:noHBand="0" w:noVBand="1"/>
      </w:tblPr>
      <w:tblGrid>
        <w:gridCol w:w="3067"/>
        <w:gridCol w:w="2090"/>
        <w:gridCol w:w="2090"/>
        <w:gridCol w:w="2107"/>
      </w:tblGrid>
      <w:tr w:rsidR="00BD5125" w:rsidRPr="00BD5125" w:rsidTr="00BD5125">
        <w:trPr>
          <w:trHeight w:val="251"/>
        </w:trPr>
        <w:tc>
          <w:tcPr>
            <w:tcW w:w="3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125" w:rsidRPr="00BD5125" w:rsidRDefault="00BD5125" w:rsidP="00BD5125">
            <w:pPr>
              <w:spacing w:after="0" w:line="240" w:lineRule="auto"/>
              <w:ind w:firstLine="0"/>
              <w:jc w:val="right"/>
              <w:rPr>
                <w:rFonts w:eastAsia="Times New Roman" w:cs="Times New Roman"/>
                <w:color w:val="000000"/>
                <w:szCs w:val="24"/>
              </w:rPr>
            </w:pPr>
            <w:r w:rsidRPr="00BD5125">
              <w:rPr>
                <w:rFonts w:eastAsia="Times New Roman" w:cs="Times New Roman"/>
                <w:color w:val="000000"/>
                <w:szCs w:val="24"/>
              </w:rPr>
              <w:t> Klašu grupas</w:t>
            </w:r>
          </w:p>
        </w:tc>
        <w:tc>
          <w:tcPr>
            <w:tcW w:w="2090" w:type="dxa"/>
            <w:tcBorders>
              <w:top w:val="single" w:sz="4" w:space="0" w:color="auto"/>
              <w:left w:val="nil"/>
              <w:bottom w:val="single" w:sz="4" w:space="0" w:color="auto"/>
              <w:right w:val="single" w:sz="4" w:space="0" w:color="auto"/>
            </w:tcBorders>
            <w:shd w:val="clear" w:color="auto" w:fill="auto"/>
            <w:noWrap/>
            <w:vAlign w:val="center"/>
            <w:hideMark/>
          </w:tcPr>
          <w:p w:rsidR="00BD5125" w:rsidRPr="00BD5125" w:rsidRDefault="00BD5125" w:rsidP="00BD5125">
            <w:pPr>
              <w:spacing w:after="0" w:line="240" w:lineRule="auto"/>
              <w:ind w:firstLine="0"/>
              <w:jc w:val="center"/>
              <w:rPr>
                <w:rFonts w:eastAsia="Times New Roman" w:cs="Times New Roman"/>
                <w:color w:val="000000"/>
                <w:szCs w:val="24"/>
              </w:rPr>
            </w:pPr>
            <w:r w:rsidRPr="00BD5125">
              <w:rPr>
                <w:rFonts w:eastAsia="Times New Roman" w:cs="Times New Roman"/>
                <w:color w:val="000000"/>
                <w:szCs w:val="24"/>
              </w:rPr>
              <w:t>1.-6.</w:t>
            </w:r>
          </w:p>
        </w:tc>
        <w:tc>
          <w:tcPr>
            <w:tcW w:w="2090" w:type="dxa"/>
            <w:tcBorders>
              <w:top w:val="single" w:sz="4" w:space="0" w:color="auto"/>
              <w:left w:val="nil"/>
              <w:bottom w:val="single" w:sz="4" w:space="0" w:color="auto"/>
              <w:right w:val="single" w:sz="4" w:space="0" w:color="auto"/>
            </w:tcBorders>
            <w:shd w:val="clear" w:color="auto" w:fill="auto"/>
            <w:noWrap/>
            <w:vAlign w:val="center"/>
            <w:hideMark/>
          </w:tcPr>
          <w:p w:rsidR="00BD5125" w:rsidRPr="00BD5125" w:rsidRDefault="00BD5125" w:rsidP="00BD5125">
            <w:pPr>
              <w:spacing w:after="0" w:line="240" w:lineRule="auto"/>
              <w:ind w:firstLine="0"/>
              <w:jc w:val="center"/>
              <w:rPr>
                <w:rFonts w:eastAsia="Times New Roman" w:cs="Times New Roman"/>
                <w:color w:val="000000"/>
                <w:szCs w:val="24"/>
              </w:rPr>
            </w:pPr>
            <w:r w:rsidRPr="00BD5125">
              <w:rPr>
                <w:rFonts w:eastAsia="Times New Roman" w:cs="Times New Roman"/>
                <w:color w:val="000000"/>
                <w:szCs w:val="24"/>
              </w:rPr>
              <w:t>7.-9.</w:t>
            </w:r>
          </w:p>
        </w:tc>
        <w:tc>
          <w:tcPr>
            <w:tcW w:w="2107" w:type="dxa"/>
            <w:tcBorders>
              <w:top w:val="single" w:sz="4" w:space="0" w:color="auto"/>
              <w:left w:val="nil"/>
              <w:bottom w:val="single" w:sz="4" w:space="0" w:color="auto"/>
              <w:right w:val="single" w:sz="4" w:space="0" w:color="auto"/>
            </w:tcBorders>
            <w:shd w:val="clear" w:color="auto" w:fill="auto"/>
            <w:noWrap/>
            <w:vAlign w:val="center"/>
            <w:hideMark/>
          </w:tcPr>
          <w:p w:rsidR="00BD5125" w:rsidRPr="00BD5125" w:rsidRDefault="00BD5125" w:rsidP="00BD5125">
            <w:pPr>
              <w:spacing w:after="0" w:line="240" w:lineRule="auto"/>
              <w:ind w:firstLine="0"/>
              <w:jc w:val="center"/>
              <w:rPr>
                <w:rFonts w:eastAsia="Times New Roman" w:cs="Times New Roman"/>
                <w:color w:val="000000"/>
                <w:szCs w:val="24"/>
              </w:rPr>
            </w:pPr>
            <w:r w:rsidRPr="00BD5125">
              <w:rPr>
                <w:rFonts w:eastAsia="Times New Roman" w:cs="Times New Roman"/>
                <w:color w:val="000000"/>
                <w:szCs w:val="24"/>
              </w:rPr>
              <w:t>10.-12.</w:t>
            </w:r>
          </w:p>
        </w:tc>
      </w:tr>
      <w:tr w:rsidR="00BD5125" w:rsidRPr="00BD5125" w:rsidTr="00BD5125">
        <w:trPr>
          <w:trHeight w:val="251"/>
        </w:trPr>
        <w:tc>
          <w:tcPr>
            <w:tcW w:w="3067" w:type="dxa"/>
            <w:tcBorders>
              <w:top w:val="nil"/>
              <w:left w:val="single" w:sz="4" w:space="0" w:color="auto"/>
              <w:bottom w:val="single" w:sz="4" w:space="0" w:color="auto"/>
              <w:right w:val="single" w:sz="4" w:space="0" w:color="auto"/>
            </w:tcBorders>
            <w:shd w:val="clear" w:color="auto" w:fill="auto"/>
            <w:noWrap/>
            <w:vAlign w:val="bottom"/>
            <w:hideMark/>
          </w:tcPr>
          <w:p w:rsidR="00BD5125" w:rsidRPr="00BD5125" w:rsidRDefault="00BD5125" w:rsidP="00BD5125">
            <w:pPr>
              <w:spacing w:after="0" w:line="240" w:lineRule="auto"/>
              <w:ind w:firstLine="0"/>
              <w:jc w:val="left"/>
              <w:rPr>
                <w:rFonts w:eastAsia="Times New Roman" w:cs="Times New Roman"/>
                <w:color w:val="000000"/>
                <w:szCs w:val="24"/>
              </w:rPr>
            </w:pPr>
            <w:r w:rsidRPr="00BD5125">
              <w:rPr>
                <w:rFonts w:eastAsia="Times New Roman" w:cs="Times New Roman"/>
                <w:color w:val="000000"/>
                <w:szCs w:val="24"/>
              </w:rPr>
              <w:t>Rīga</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95 </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121 </w:t>
            </w:r>
          </w:p>
        </w:tc>
        <w:tc>
          <w:tcPr>
            <w:tcW w:w="2107"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130 </w:t>
            </w:r>
          </w:p>
        </w:tc>
      </w:tr>
      <w:tr w:rsidR="00BD5125" w:rsidRPr="00BD5125" w:rsidTr="00BD5125">
        <w:trPr>
          <w:trHeight w:val="251"/>
        </w:trPr>
        <w:tc>
          <w:tcPr>
            <w:tcW w:w="3067" w:type="dxa"/>
            <w:tcBorders>
              <w:top w:val="nil"/>
              <w:left w:val="single" w:sz="4" w:space="0" w:color="auto"/>
              <w:bottom w:val="single" w:sz="4" w:space="0" w:color="auto"/>
              <w:right w:val="single" w:sz="4" w:space="0" w:color="auto"/>
            </w:tcBorders>
            <w:shd w:val="clear" w:color="auto" w:fill="auto"/>
            <w:noWrap/>
            <w:vAlign w:val="bottom"/>
            <w:hideMark/>
          </w:tcPr>
          <w:p w:rsidR="00BD5125" w:rsidRPr="00BD5125" w:rsidRDefault="00BD5125" w:rsidP="00BD5125">
            <w:pPr>
              <w:spacing w:after="0" w:line="240" w:lineRule="auto"/>
              <w:ind w:firstLine="0"/>
              <w:jc w:val="left"/>
              <w:rPr>
                <w:rFonts w:eastAsia="Times New Roman" w:cs="Times New Roman"/>
                <w:color w:val="000000"/>
                <w:szCs w:val="24"/>
              </w:rPr>
            </w:pPr>
            <w:r w:rsidRPr="00BD5125">
              <w:rPr>
                <w:rFonts w:eastAsia="Times New Roman" w:cs="Times New Roman"/>
                <w:color w:val="000000"/>
                <w:szCs w:val="24"/>
              </w:rPr>
              <w:t>Valstspilsētas</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101 </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129 </w:t>
            </w:r>
          </w:p>
        </w:tc>
        <w:tc>
          <w:tcPr>
            <w:tcW w:w="2107"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138 </w:t>
            </w:r>
          </w:p>
        </w:tc>
      </w:tr>
      <w:tr w:rsidR="00BD5125" w:rsidRPr="00BD5125" w:rsidTr="00BD5125">
        <w:trPr>
          <w:trHeight w:val="251"/>
        </w:trPr>
        <w:tc>
          <w:tcPr>
            <w:tcW w:w="3067" w:type="dxa"/>
            <w:tcBorders>
              <w:top w:val="nil"/>
              <w:left w:val="single" w:sz="4" w:space="0" w:color="auto"/>
              <w:bottom w:val="single" w:sz="4" w:space="0" w:color="auto"/>
              <w:right w:val="single" w:sz="4" w:space="0" w:color="auto"/>
            </w:tcBorders>
            <w:shd w:val="clear" w:color="auto" w:fill="auto"/>
            <w:noWrap/>
            <w:vAlign w:val="bottom"/>
            <w:hideMark/>
          </w:tcPr>
          <w:p w:rsidR="00BD5125" w:rsidRPr="00BD5125" w:rsidRDefault="00261F02" w:rsidP="00BD5125">
            <w:pPr>
              <w:spacing w:after="0" w:line="240" w:lineRule="auto"/>
              <w:ind w:firstLine="0"/>
              <w:jc w:val="left"/>
              <w:rPr>
                <w:rFonts w:eastAsia="Times New Roman" w:cs="Times New Roman"/>
                <w:color w:val="000000"/>
                <w:szCs w:val="24"/>
              </w:rPr>
            </w:pPr>
            <w:r w:rsidRPr="00261F02">
              <w:rPr>
                <w:rFonts w:eastAsia="Times New Roman" w:cs="Times New Roman"/>
                <w:color w:val="000000"/>
                <w:szCs w:val="24"/>
              </w:rPr>
              <w:t>Zemā blīvuma novadi</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133 </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167 </w:t>
            </w:r>
          </w:p>
        </w:tc>
        <w:tc>
          <w:tcPr>
            <w:tcW w:w="2107"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177 </w:t>
            </w:r>
          </w:p>
        </w:tc>
      </w:tr>
      <w:tr w:rsidR="00BD5125" w:rsidRPr="00BD5125" w:rsidTr="00BD5125">
        <w:trPr>
          <w:trHeight w:val="251"/>
        </w:trPr>
        <w:tc>
          <w:tcPr>
            <w:tcW w:w="3067" w:type="dxa"/>
            <w:tcBorders>
              <w:top w:val="nil"/>
              <w:left w:val="single" w:sz="4" w:space="0" w:color="auto"/>
              <w:bottom w:val="single" w:sz="4" w:space="0" w:color="auto"/>
              <w:right w:val="single" w:sz="4" w:space="0" w:color="auto"/>
            </w:tcBorders>
            <w:shd w:val="clear" w:color="auto" w:fill="auto"/>
            <w:noWrap/>
            <w:vAlign w:val="bottom"/>
            <w:hideMark/>
          </w:tcPr>
          <w:p w:rsidR="00BD5125" w:rsidRPr="00BD5125" w:rsidRDefault="00261F02" w:rsidP="00261F02">
            <w:pPr>
              <w:spacing w:after="0" w:line="240" w:lineRule="auto"/>
              <w:ind w:firstLine="0"/>
              <w:jc w:val="left"/>
              <w:rPr>
                <w:rFonts w:eastAsia="Times New Roman" w:cs="Times New Roman"/>
                <w:b/>
                <w:color w:val="000000"/>
                <w:szCs w:val="24"/>
              </w:rPr>
            </w:pPr>
            <w:r>
              <w:rPr>
                <w:rFonts w:eastAsia="Times New Roman" w:cs="Times New Roman"/>
                <w:b/>
                <w:color w:val="000000"/>
                <w:szCs w:val="24"/>
              </w:rPr>
              <w:t>Pārējās pašvaldības</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122 </w:t>
            </w:r>
          </w:p>
        </w:tc>
        <w:tc>
          <w:tcPr>
            <w:tcW w:w="2090"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158 </w:t>
            </w:r>
          </w:p>
        </w:tc>
        <w:tc>
          <w:tcPr>
            <w:tcW w:w="2107" w:type="dxa"/>
            <w:tcBorders>
              <w:top w:val="nil"/>
              <w:left w:val="nil"/>
              <w:bottom w:val="single" w:sz="4" w:space="0" w:color="auto"/>
              <w:right w:val="single" w:sz="4" w:space="0" w:color="auto"/>
            </w:tcBorders>
            <w:shd w:val="clear" w:color="auto" w:fill="auto"/>
            <w:noWrap/>
            <w:vAlign w:val="bottom"/>
            <w:hideMark/>
          </w:tcPr>
          <w:p w:rsidR="00BD5125" w:rsidRPr="00BD5125" w:rsidRDefault="00B47039" w:rsidP="00BD5125">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169 </w:t>
            </w:r>
          </w:p>
        </w:tc>
      </w:tr>
    </w:tbl>
    <w:p w:rsidR="00BE2122" w:rsidRDefault="00BE2122" w:rsidP="00BE2122">
      <w:pPr>
        <w:ind w:left="360" w:firstLine="0"/>
      </w:pPr>
    </w:p>
    <w:p w:rsidR="00BD5125" w:rsidRDefault="00B47039" w:rsidP="00B47039">
      <w:r>
        <w:t xml:space="preserve">5. </w:t>
      </w:r>
      <w:r w:rsidR="00BD5125" w:rsidRPr="00BD5125">
        <w:t>Katrā pašvaldību grupā aprēķina vidējo mērķdotāciju izglītojamiem, kas apgūst speciālās izglītības programmas iekļaujoši, izglītojamiem valsts ģimnāzijās, vakara programmās, neklātienes un tālmācības programmās, pamatizglītības profesionāli orientētajās programmās, eksternātā.</w:t>
      </w:r>
    </w:p>
    <w:p w:rsidR="00B47039" w:rsidRDefault="00B47039" w:rsidP="00B47039">
      <w:pPr>
        <w:pStyle w:val="ListParagraph"/>
        <w:spacing w:after="0"/>
        <w:ind w:firstLine="0"/>
        <w:jc w:val="right"/>
      </w:pPr>
      <w:r w:rsidRPr="00A21E09">
        <w:t>5.tabula</w:t>
      </w:r>
      <w:r>
        <w:t xml:space="preserve">: </w:t>
      </w:r>
      <w:r w:rsidR="00F6240B">
        <w:t>Vidējā m</w:t>
      </w:r>
      <w:r>
        <w:t>ērķdotācija vienam izglītojamam</w:t>
      </w:r>
      <w:r w:rsidR="0015102A">
        <w:t xml:space="preserve"> </w:t>
      </w:r>
      <w:r>
        <w:t>atkarībā no</w:t>
      </w:r>
    </w:p>
    <w:p w:rsidR="00B47039" w:rsidRDefault="0015102A" w:rsidP="00B47039">
      <w:pPr>
        <w:pStyle w:val="ListParagraph"/>
        <w:spacing w:after="0"/>
        <w:ind w:firstLine="0"/>
        <w:jc w:val="right"/>
      </w:pPr>
      <w:r>
        <w:t>i</w:t>
      </w:r>
      <w:r w:rsidR="00B47039">
        <w:t>zglītības programmas vai apmācības veida,</w:t>
      </w:r>
    </w:p>
    <w:p w:rsidR="00B47039" w:rsidRDefault="00B47039" w:rsidP="00B47039">
      <w:pPr>
        <w:pStyle w:val="ListParagraph"/>
        <w:spacing w:after="0"/>
        <w:ind w:firstLine="0"/>
        <w:jc w:val="right"/>
      </w:pPr>
      <w:r>
        <w:t xml:space="preserve"> </w:t>
      </w:r>
      <w:r w:rsidRPr="00B47039">
        <w:rPr>
          <w:b/>
          <w:i/>
        </w:rPr>
        <w:t xml:space="preserve">euro </w:t>
      </w:r>
      <w:r>
        <w:t>mēnesī</w:t>
      </w:r>
    </w:p>
    <w:tbl>
      <w:tblPr>
        <w:tblW w:w="9379" w:type="dxa"/>
        <w:tblInd w:w="15" w:type="dxa"/>
        <w:tblLook w:val="04A0" w:firstRow="1" w:lastRow="0" w:firstColumn="1" w:lastColumn="0" w:noHBand="0" w:noVBand="1"/>
      </w:tblPr>
      <w:tblGrid>
        <w:gridCol w:w="1070"/>
        <w:gridCol w:w="993"/>
        <w:gridCol w:w="865"/>
        <w:gridCol w:w="865"/>
        <w:gridCol w:w="1000"/>
        <w:gridCol w:w="1139"/>
        <w:gridCol w:w="1134"/>
        <w:gridCol w:w="1003"/>
        <w:gridCol w:w="1310"/>
      </w:tblGrid>
      <w:tr w:rsidR="007A78A9" w:rsidRPr="003D33F0" w:rsidTr="007A78A9">
        <w:trPr>
          <w:trHeight w:val="361"/>
        </w:trPr>
        <w:tc>
          <w:tcPr>
            <w:tcW w:w="10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33F0" w:rsidRPr="003D33F0" w:rsidRDefault="003D33F0" w:rsidP="003D33F0">
            <w:pPr>
              <w:spacing w:after="0" w:line="240" w:lineRule="auto"/>
              <w:ind w:firstLine="0"/>
              <w:jc w:val="left"/>
              <w:rPr>
                <w:rFonts w:eastAsia="Times New Roman" w:cs="Times New Roman"/>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center"/>
              <w:rPr>
                <w:rFonts w:eastAsia="Times New Roman" w:cs="Times New Roman"/>
                <w:bCs/>
                <w:color w:val="000000"/>
                <w:szCs w:val="24"/>
              </w:rPr>
            </w:pPr>
            <w:r>
              <w:rPr>
                <w:rFonts w:eastAsia="Times New Roman" w:cs="Times New Roman"/>
                <w:bCs/>
                <w:color w:val="000000"/>
                <w:szCs w:val="24"/>
              </w:rPr>
              <w:t>Spec.</w:t>
            </w:r>
            <w:r w:rsidR="007A78A9">
              <w:rPr>
                <w:rFonts w:eastAsia="Times New Roman" w:cs="Times New Roman"/>
                <w:bCs/>
                <w:color w:val="000000"/>
                <w:szCs w:val="24"/>
              </w:rPr>
              <w:br/>
            </w:r>
            <w:r>
              <w:rPr>
                <w:rFonts w:eastAsia="Times New Roman" w:cs="Times New Roman"/>
                <w:bCs/>
                <w:color w:val="000000"/>
                <w:szCs w:val="24"/>
              </w:rPr>
              <w:t>prgr.</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Vaka</w:t>
            </w:r>
            <w:r w:rsidR="007A78A9">
              <w:rPr>
                <w:rFonts w:eastAsia="Times New Roman" w:cs="Times New Roman"/>
                <w:bCs/>
                <w:color w:val="000000"/>
                <w:szCs w:val="24"/>
              </w:rPr>
              <w:t>-</w:t>
            </w:r>
            <w:r w:rsidRPr="003D33F0">
              <w:rPr>
                <w:rFonts w:eastAsia="Times New Roman" w:cs="Times New Roman"/>
                <w:bCs/>
                <w:color w:val="000000"/>
                <w:szCs w:val="24"/>
              </w:rPr>
              <w:t>ra</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Nekl.</w:t>
            </w:r>
            <w:r w:rsidR="007A78A9">
              <w:rPr>
                <w:rFonts w:eastAsia="Times New Roman" w:cs="Times New Roman"/>
                <w:bCs/>
                <w:color w:val="000000"/>
                <w:szCs w:val="24"/>
              </w:rPr>
              <w:br/>
            </w:r>
            <w:r w:rsidRPr="003D33F0">
              <w:rPr>
                <w:rFonts w:eastAsia="Times New Roman" w:cs="Times New Roman"/>
                <w:bCs/>
                <w:color w:val="000000"/>
                <w:szCs w:val="24"/>
              </w:rPr>
              <w:t>tālm.</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Ieslodz.</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V.ģimn.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Mūzika</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Valodas</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center"/>
              <w:rPr>
                <w:rFonts w:eastAsia="Times New Roman" w:cs="Times New Roman"/>
                <w:bCs/>
                <w:color w:val="000000"/>
                <w:szCs w:val="24"/>
              </w:rPr>
            </w:pPr>
            <w:r w:rsidRPr="003D33F0">
              <w:rPr>
                <w:rFonts w:eastAsia="Times New Roman" w:cs="Times New Roman"/>
                <w:bCs/>
                <w:color w:val="000000"/>
                <w:szCs w:val="24"/>
              </w:rPr>
              <w:t>Eksterņi</w:t>
            </w:r>
            <w:r w:rsidR="00B47039">
              <w:rPr>
                <w:rFonts w:eastAsia="Times New Roman" w:cs="Times New Roman"/>
                <w:bCs/>
                <w:color w:val="000000"/>
                <w:szCs w:val="24"/>
              </w:rPr>
              <w:t>em</w:t>
            </w:r>
          </w:p>
        </w:tc>
      </w:tr>
      <w:tr w:rsidR="007A78A9" w:rsidRPr="003D33F0" w:rsidTr="007A78A9">
        <w:trPr>
          <w:trHeight w:val="361"/>
        </w:trPr>
        <w:tc>
          <w:tcPr>
            <w:tcW w:w="10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33F0" w:rsidRPr="003D33F0" w:rsidRDefault="003D33F0" w:rsidP="003D33F0">
            <w:pPr>
              <w:spacing w:after="0" w:line="240" w:lineRule="auto"/>
              <w:ind w:firstLine="0"/>
              <w:jc w:val="right"/>
              <w:rPr>
                <w:rFonts w:eastAsia="Times New Roman" w:cs="Times New Roman"/>
                <w:color w:val="000000"/>
                <w:szCs w:val="24"/>
              </w:rPr>
            </w:pPr>
            <w:r w:rsidRPr="003D33F0">
              <w:rPr>
                <w:rFonts w:eastAsia="Times New Roman" w:cs="Times New Roman"/>
                <w:color w:val="000000"/>
                <w:szCs w:val="24"/>
              </w:rPr>
              <w:t> Klašu grupas</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1.-12.</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1.-12.</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1.-12.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7.-12.</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10.-12.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1.-9.</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1.-9.</w:t>
            </w:r>
          </w:p>
        </w:tc>
        <w:tc>
          <w:tcPr>
            <w:tcW w:w="1309" w:type="dxa"/>
            <w:tcBorders>
              <w:top w:val="single" w:sz="4" w:space="0" w:color="auto"/>
              <w:left w:val="nil"/>
              <w:bottom w:val="single" w:sz="4" w:space="0" w:color="auto"/>
              <w:right w:val="single" w:sz="4" w:space="0" w:color="auto"/>
            </w:tcBorders>
            <w:shd w:val="clear" w:color="auto" w:fill="auto"/>
            <w:noWrap/>
            <w:vAlign w:val="center"/>
            <w:hideMark/>
          </w:tcPr>
          <w:p w:rsidR="003D33F0" w:rsidRPr="003D33F0" w:rsidRDefault="003D33F0" w:rsidP="003D33F0">
            <w:pPr>
              <w:spacing w:after="0" w:line="240" w:lineRule="auto"/>
              <w:ind w:firstLine="0"/>
              <w:jc w:val="center"/>
              <w:rPr>
                <w:rFonts w:eastAsia="Times New Roman" w:cs="Times New Roman"/>
                <w:color w:val="000000"/>
                <w:szCs w:val="24"/>
              </w:rPr>
            </w:pPr>
            <w:r w:rsidRPr="003D33F0">
              <w:rPr>
                <w:rFonts w:eastAsia="Times New Roman" w:cs="Times New Roman"/>
                <w:color w:val="000000"/>
                <w:szCs w:val="24"/>
              </w:rPr>
              <w:t>7.-12.</w:t>
            </w:r>
          </w:p>
        </w:tc>
      </w:tr>
      <w:tr w:rsidR="007A78A9" w:rsidRPr="003D33F0" w:rsidTr="007A78A9">
        <w:trPr>
          <w:trHeight w:val="361"/>
        </w:trPr>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3D33F0" w:rsidRPr="003D33F0" w:rsidRDefault="003D33F0" w:rsidP="003D33F0">
            <w:pPr>
              <w:spacing w:after="0" w:line="240" w:lineRule="auto"/>
              <w:ind w:firstLine="0"/>
              <w:jc w:val="left"/>
              <w:rPr>
                <w:rFonts w:eastAsia="Times New Roman" w:cs="Times New Roman"/>
                <w:color w:val="000000"/>
                <w:szCs w:val="24"/>
              </w:rPr>
            </w:pPr>
            <w:r w:rsidRPr="003D33F0">
              <w:rPr>
                <w:rFonts w:eastAsia="Times New Roman" w:cs="Times New Roman"/>
                <w:color w:val="000000"/>
                <w:szCs w:val="24"/>
              </w:rPr>
              <w:t>Rīga</w:t>
            </w:r>
          </w:p>
        </w:tc>
        <w:tc>
          <w:tcPr>
            <w:tcW w:w="99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211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107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77 </w:t>
            </w:r>
          </w:p>
        </w:tc>
        <w:tc>
          <w:tcPr>
            <w:tcW w:w="1000"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137 </w:t>
            </w:r>
          </w:p>
        </w:tc>
        <w:tc>
          <w:tcPr>
            <w:tcW w:w="113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160 </w:t>
            </w:r>
          </w:p>
        </w:tc>
        <w:tc>
          <w:tcPr>
            <w:tcW w:w="113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133 </w:t>
            </w:r>
          </w:p>
        </w:tc>
        <w:tc>
          <w:tcPr>
            <w:tcW w:w="1002"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123 </w:t>
            </w:r>
          </w:p>
        </w:tc>
        <w:tc>
          <w:tcPr>
            <w:tcW w:w="130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5 </w:t>
            </w:r>
          </w:p>
        </w:tc>
      </w:tr>
      <w:tr w:rsidR="007A78A9" w:rsidRPr="003D33F0" w:rsidTr="007A78A9">
        <w:trPr>
          <w:trHeight w:val="361"/>
        </w:trPr>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3D33F0" w:rsidRPr="003D33F0" w:rsidRDefault="003D33F0" w:rsidP="003D33F0">
            <w:pPr>
              <w:spacing w:after="0" w:line="240" w:lineRule="auto"/>
              <w:ind w:firstLine="0"/>
              <w:jc w:val="left"/>
              <w:rPr>
                <w:rFonts w:eastAsia="Times New Roman" w:cs="Times New Roman"/>
                <w:color w:val="000000"/>
                <w:szCs w:val="24"/>
              </w:rPr>
            </w:pPr>
            <w:r w:rsidRPr="003D33F0">
              <w:rPr>
                <w:rFonts w:eastAsia="Times New Roman" w:cs="Times New Roman"/>
                <w:color w:val="000000"/>
                <w:szCs w:val="24"/>
              </w:rPr>
              <w:t>Valsts</w:t>
            </w:r>
            <w:r w:rsidR="007A78A9">
              <w:rPr>
                <w:rFonts w:eastAsia="Times New Roman" w:cs="Times New Roman"/>
                <w:color w:val="000000"/>
                <w:szCs w:val="24"/>
              </w:rPr>
              <w:t>-</w:t>
            </w:r>
            <w:r w:rsidRPr="003D33F0">
              <w:rPr>
                <w:rFonts w:eastAsia="Times New Roman" w:cs="Times New Roman"/>
                <w:color w:val="000000"/>
                <w:szCs w:val="24"/>
              </w:rPr>
              <w:t>pilsētas</w:t>
            </w:r>
          </w:p>
        </w:tc>
        <w:tc>
          <w:tcPr>
            <w:tcW w:w="99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236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109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81 </w:t>
            </w:r>
          </w:p>
        </w:tc>
        <w:tc>
          <w:tcPr>
            <w:tcW w:w="1000"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81 </w:t>
            </w:r>
          </w:p>
        </w:tc>
        <w:tc>
          <w:tcPr>
            <w:tcW w:w="113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170 </w:t>
            </w:r>
          </w:p>
        </w:tc>
        <w:tc>
          <w:tcPr>
            <w:tcW w:w="113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140 </w:t>
            </w:r>
          </w:p>
        </w:tc>
        <w:tc>
          <w:tcPr>
            <w:tcW w:w="1002" w:type="dxa"/>
            <w:tcBorders>
              <w:top w:val="nil"/>
              <w:left w:val="nil"/>
              <w:bottom w:val="single" w:sz="4" w:space="0" w:color="auto"/>
              <w:right w:val="single" w:sz="4" w:space="0" w:color="auto"/>
            </w:tcBorders>
            <w:shd w:val="clear" w:color="auto" w:fill="auto"/>
            <w:noWrap/>
            <w:vAlign w:val="center"/>
            <w:hideMark/>
          </w:tcPr>
          <w:p w:rsidR="003D33F0" w:rsidRPr="003D33F0" w:rsidRDefault="003D33F0" w:rsidP="007A78A9">
            <w:pPr>
              <w:spacing w:after="0" w:line="240" w:lineRule="auto"/>
              <w:ind w:firstLine="0"/>
              <w:jc w:val="right"/>
              <w:rPr>
                <w:rFonts w:eastAsia="Times New Roman" w:cs="Times New Roman"/>
                <w:color w:val="000000"/>
                <w:szCs w:val="24"/>
              </w:rPr>
            </w:pPr>
            <w:r w:rsidRPr="003D33F0">
              <w:rPr>
                <w:rFonts w:eastAsia="Times New Roman" w:cs="Times New Roman"/>
                <w:color w:val="000000"/>
                <w:szCs w:val="24"/>
              </w:rPr>
              <w:t>129</w:t>
            </w:r>
            <w:r w:rsidR="00B47039">
              <w:rPr>
                <w:rFonts w:eastAsia="Times New Roman" w:cs="Times New Roman"/>
                <w:color w:val="000000"/>
                <w:szCs w:val="24"/>
              </w:rPr>
              <w:t xml:space="preserve"> </w:t>
            </w:r>
          </w:p>
        </w:tc>
        <w:tc>
          <w:tcPr>
            <w:tcW w:w="130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11 </w:t>
            </w:r>
          </w:p>
        </w:tc>
      </w:tr>
      <w:tr w:rsidR="007A78A9" w:rsidRPr="003D33F0" w:rsidTr="007A78A9">
        <w:trPr>
          <w:trHeight w:val="361"/>
        </w:trPr>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3D33F0" w:rsidRPr="003D33F0" w:rsidRDefault="00261F02" w:rsidP="003D33F0">
            <w:pPr>
              <w:spacing w:after="0" w:line="240" w:lineRule="auto"/>
              <w:ind w:firstLine="0"/>
              <w:jc w:val="left"/>
              <w:rPr>
                <w:rFonts w:eastAsia="Times New Roman" w:cs="Times New Roman"/>
                <w:color w:val="000000"/>
                <w:szCs w:val="24"/>
              </w:rPr>
            </w:pPr>
            <w:r>
              <w:rPr>
                <w:rFonts w:eastAsia="Times New Roman" w:cs="Times New Roman"/>
                <w:color w:val="000000"/>
                <w:szCs w:val="24"/>
              </w:rPr>
              <w:t>Zemā blīvuma novadi</w:t>
            </w:r>
          </w:p>
        </w:tc>
        <w:tc>
          <w:tcPr>
            <w:tcW w:w="99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342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0</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107 </w:t>
            </w:r>
          </w:p>
        </w:tc>
        <w:tc>
          <w:tcPr>
            <w:tcW w:w="1000"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0 </w:t>
            </w:r>
          </w:p>
        </w:tc>
        <w:tc>
          <w:tcPr>
            <w:tcW w:w="113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204 </w:t>
            </w:r>
          </w:p>
        </w:tc>
        <w:tc>
          <w:tcPr>
            <w:tcW w:w="113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154 </w:t>
            </w:r>
          </w:p>
        </w:tc>
        <w:tc>
          <w:tcPr>
            <w:tcW w:w="1002"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183 </w:t>
            </w:r>
          </w:p>
        </w:tc>
        <w:tc>
          <w:tcPr>
            <w:tcW w:w="130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color w:val="000000"/>
                <w:szCs w:val="24"/>
              </w:rPr>
            </w:pPr>
            <w:r>
              <w:rPr>
                <w:rFonts w:eastAsia="Times New Roman" w:cs="Times New Roman"/>
                <w:color w:val="000000"/>
                <w:szCs w:val="24"/>
              </w:rPr>
              <w:t xml:space="preserve">11 </w:t>
            </w:r>
          </w:p>
        </w:tc>
      </w:tr>
      <w:tr w:rsidR="007A78A9" w:rsidRPr="003D33F0" w:rsidTr="007A78A9">
        <w:trPr>
          <w:trHeight w:val="361"/>
        </w:trPr>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3D33F0" w:rsidRPr="003D33F0" w:rsidRDefault="00261F02" w:rsidP="003D33F0">
            <w:pPr>
              <w:spacing w:after="0" w:line="240" w:lineRule="auto"/>
              <w:ind w:firstLine="0"/>
              <w:jc w:val="left"/>
              <w:rPr>
                <w:rFonts w:eastAsia="Times New Roman" w:cs="Times New Roman"/>
                <w:b/>
                <w:color w:val="000000"/>
                <w:szCs w:val="24"/>
              </w:rPr>
            </w:pPr>
            <w:r w:rsidRPr="00261F02">
              <w:rPr>
                <w:rFonts w:eastAsia="Times New Roman" w:cs="Times New Roman"/>
                <w:b/>
                <w:color w:val="000000"/>
                <w:szCs w:val="24"/>
              </w:rPr>
              <w:t>Pārējās pašval</w:t>
            </w:r>
            <w:r w:rsidR="007A78A9">
              <w:rPr>
                <w:rFonts w:eastAsia="Times New Roman" w:cs="Times New Roman"/>
                <w:b/>
                <w:color w:val="000000"/>
                <w:szCs w:val="24"/>
              </w:rPr>
              <w:t>-</w:t>
            </w:r>
            <w:r w:rsidRPr="00261F02">
              <w:rPr>
                <w:rFonts w:eastAsia="Times New Roman" w:cs="Times New Roman"/>
                <w:b/>
                <w:color w:val="000000"/>
                <w:szCs w:val="24"/>
              </w:rPr>
              <w:t>dības</w:t>
            </w:r>
          </w:p>
        </w:tc>
        <w:tc>
          <w:tcPr>
            <w:tcW w:w="99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313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132 </w:t>
            </w:r>
          </w:p>
        </w:tc>
        <w:tc>
          <w:tcPr>
            <w:tcW w:w="865"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100 </w:t>
            </w:r>
          </w:p>
        </w:tc>
        <w:tc>
          <w:tcPr>
            <w:tcW w:w="1000"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106 </w:t>
            </w:r>
          </w:p>
        </w:tc>
        <w:tc>
          <w:tcPr>
            <w:tcW w:w="1139"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191 </w:t>
            </w:r>
          </w:p>
        </w:tc>
        <w:tc>
          <w:tcPr>
            <w:tcW w:w="1134"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166 </w:t>
            </w:r>
          </w:p>
        </w:tc>
        <w:tc>
          <w:tcPr>
            <w:tcW w:w="1002" w:type="dxa"/>
            <w:tcBorders>
              <w:top w:val="nil"/>
              <w:left w:val="nil"/>
              <w:bottom w:val="single" w:sz="4" w:space="0" w:color="auto"/>
              <w:right w:val="single" w:sz="4" w:space="0" w:color="auto"/>
            </w:tcBorders>
            <w:shd w:val="clear" w:color="auto" w:fill="auto"/>
            <w:noWrap/>
            <w:vAlign w:val="center"/>
            <w:hideMark/>
          </w:tcPr>
          <w:p w:rsidR="003D33F0" w:rsidRPr="003D33F0" w:rsidRDefault="00B47039" w:rsidP="007A78A9">
            <w:pPr>
              <w:spacing w:after="0" w:line="240" w:lineRule="auto"/>
              <w:ind w:firstLine="0"/>
              <w:jc w:val="right"/>
              <w:rPr>
                <w:rFonts w:eastAsia="Times New Roman" w:cs="Times New Roman"/>
                <w:b/>
                <w:color w:val="000000"/>
                <w:szCs w:val="24"/>
              </w:rPr>
            </w:pPr>
            <w:r>
              <w:rPr>
                <w:rFonts w:eastAsia="Times New Roman" w:cs="Times New Roman"/>
                <w:b/>
                <w:color w:val="000000"/>
                <w:szCs w:val="24"/>
              </w:rPr>
              <w:t xml:space="preserve">157 </w:t>
            </w:r>
          </w:p>
        </w:tc>
        <w:tc>
          <w:tcPr>
            <w:tcW w:w="1309" w:type="dxa"/>
            <w:tcBorders>
              <w:top w:val="nil"/>
              <w:left w:val="nil"/>
              <w:bottom w:val="single" w:sz="4" w:space="0" w:color="auto"/>
              <w:right w:val="single" w:sz="4" w:space="0" w:color="auto"/>
            </w:tcBorders>
            <w:shd w:val="clear" w:color="auto" w:fill="auto"/>
            <w:noWrap/>
            <w:vAlign w:val="center"/>
            <w:hideMark/>
          </w:tcPr>
          <w:p w:rsidR="003D33F0" w:rsidRPr="0015102A" w:rsidRDefault="003D33F0" w:rsidP="007A78A9">
            <w:pPr>
              <w:pStyle w:val="ListParagraph"/>
              <w:numPr>
                <w:ilvl w:val="0"/>
                <w:numId w:val="20"/>
              </w:numPr>
              <w:spacing w:after="0" w:line="240" w:lineRule="auto"/>
              <w:jc w:val="right"/>
              <w:rPr>
                <w:rFonts w:eastAsia="Times New Roman" w:cs="Times New Roman"/>
                <w:b/>
                <w:color w:val="000000"/>
                <w:szCs w:val="24"/>
              </w:rPr>
            </w:pPr>
          </w:p>
        </w:tc>
      </w:tr>
    </w:tbl>
    <w:p w:rsidR="00BD5125" w:rsidRDefault="00BD5125" w:rsidP="00BD5125">
      <w:pPr>
        <w:ind w:left="360" w:firstLine="0"/>
      </w:pPr>
    </w:p>
    <w:p w:rsidR="003D33F0" w:rsidRDefault="0015102A" w:rsidP="0015102A">
      <w:pPr>
        <w:rPr>
          <w:rFonts w:cs="Times New Roman"/>
          <w:szCs w:val="24"/>
        </w:rPr>
      </w:pPr>
      <w:r>
        <w:t>6.</w:t>
      </w:r>
      <w:r w:rsidR="007A78A9">
        <w:t> </w:t>
      </w:r>
      <w:r w:rsidR="003D33F0" w:rsidRPr="003D33F0">
        <w:t>Lai vienkāršotu mērķdotācijas aprēķinu un lai mazinātu saņemtās mērķdotācijas atšķirības starp pašvaldībām, t.i. lai pašvaldības saņemtu līdzīgu valsts finansējumu pedagogu darba samaksai uz vienu izglītojamo, par pamatu mērķdotācijas aprēķinam tiek ņemts vidējais finansējums vienam izglītojamam administratīvajās teritorijās, kas nav valstspilsētas un administratīvās teritorijas ar zemu izglītojamo blīvumu.</w:t>
      </w:r>
      <w:r w:rsidR="00B47039">
        <w:t xml:space="preserve"> Pārējo </w:t>
      </w:r>
      <w:r w:rsidR="00F6240B">
        <w:t>pašvaldību grupu</w:t>
      </w:r>
      <w:r w:rsidR="00B47039">
        <w:t xml:space="preserve"> vidējās mērķdotācijas </w:t>
      </w:r>
      <w:r>
        <w:t xml:space="preserve">vērtības </w:t>
      </w:r>
      <w:r w:rsidR="00B47039">
        <w:t xml:space="preserve">uz vienu izglītojamo </w:t>
      </w:r>
      <w:r>
        <w:t>tiek izteikta</w:t>
      </w:r>
      <w:r w:rsidR="00F6240B">
        <w:t>s</w:t>
      </w:r>
      <w:r>
        <w:t xml:space="preserve"> kā attiecība pret vidējo </w:t>
      </w:r>
      <w:r w:rsidR="003D33F0" w:rsidRPr="0015102A">
        <w:rPr>
          <w:rFonts w:cs="Times New Roman"/>
          <w:szCs w:val="24"/>
        </w:rPr>
        <w:t xml:space="preserve">mērķdotāciju vienam izglītojamam </w:t>
      </w:r>
      <w:r w:rsidRPr="0015102A">
        <w:rPr>
          <w:rFonts w:cs="Times New Roman"/>
          <w:szCs w:val="24"/>
        </w:rPr>
        <w:t xml:space="preserve">pārējos </w:t>
      </w:r>
      <w:r w:rsidR="00F6240B">
        <w:rPr>
          <w:rFonts w:cs="Times New Roman"/>
          <w:szCs w:val="24"/>
        </w:rPr>
        <w:t>pašvaldībās</w:t>
      </w:r>
      <w:r w:rsidRPr="0015102A">
        <w:rPr>
          <w:rFonts w:cs="Times New Roman"/>
          <w:szCs w:val="24"/>
        </w:rPr>
        <w:t>. Tādā veidā</w:t>
      </w:r>
      <w:r w:rsidR="003D33F0" w:rsidRPr="0015102A">
        <w:rPr>
          <w:rFonts w:cs="Times New Roman"/>
          <w:szCs w:val="24"/>
        </w:rPr>
        <w:t xml:space="preserve"> iegūst koeficientu sistēmu, kas raksturo gan </w:t>
      </w:r>
      <w:r>
        <w:rPr>
          <w:rFonts w:cs="Times New Roman"/>
          <w:szCs w:val="24"/>
        </w:rPr>
        <w:t xml:space="preserve">mērķdotācijas </w:t>
      </w:r>
      <w:r w:rsidR="003D33F0" w:rsidRPr="0015102A">
        <w:rPr>
          <w:rFonts w:cs="Times New Roman"/>
          <w:szCs w:val="24"/>
        </w:rPr>
        <w:t>atšķirības administratīvajās teritorijās, gan izglītības programmu veidos.  Koeficientu sistēma tiek vienkāršota un  iespēju robežās noapaļota</w:t>
      </w:r>
      <w:r w:rsidRPr="0015102A">
        <w:rPr>
          <w:rFonts w:cs="Times New Roman"/>
          <w:szCs w:val="24"/>
        </w:rPr>
        <w:t>.</w:t>
      </w:r>
    </w:p>
    <w:p w:rsidR="007A78A9" w:rsidRDefault="007A78A9">
      <w:pPr>
        <w:ind w:firstLine="0"/>
        <w:jc w:val="left"/>
        <w:rPr>
          <w:rFonts w:cs="Times New Roman"/>
          <w:szCs w:val="24"/>
          <w:highlight w:val="yellow"/>
        </w:rPr>
      </w:pPr>
      <w:r>
        <w:rPr>
          <w:rFonts w:cs="Times New Roman"/>
          <w:szCs w:val="24"/>
          <w:highlight w:val="yellow"/>
        </w:rPr>
        <w:br w:type="page"/>
      </w:r>
    </w:p>
    <w:p w:rsidR="00261F02" w:rsidRDefault="0015102A" w:rsidP="0015102A">
      <w:pPr>
        <w:spacing w:after="0"/>
        <w:jc w:val="right"/>
        <w:rPr>
          <w:rFonts w:cs="Times New Roman"/>
          <w:szCs w:val="24"/>
        </w:rPr>
      </w:pPr>
      <w:r w:rsidRPr="00A21E09">
        <w:rPr>
          <w:rFonts w:cs="Times New Roman"/>
          <w:szCs w:val="24"/>
        </w:rPr>
        <w:lastRenderedPageBreak/>
        <w:t>6.tabula</w:t>
      </w:r>
      <w:r w:rsidRPr="0015102A">
        <w:rPr>
          <w:rFonts w:cs="Times New Roman"/>
          <w:szCs w:val="24"/>
        </w:rPr>
        <w:t>: Mērķdotācija vienam izglītojamam</w:t>
      </w:r>
    </w:p>
    <w:p w:rsidR="0015102A" w:rsidRPr="0015102A" w:rsidRDefault="0015102A" w:rsidP="0015102A">
      <w:pPr>
        <w:spacing w:after="0"/>
        <w:jc w:val="right"/>
        <w:rPr>
          <w:rFonts w:cs="Times New Roman"/>
          <w:szCs w:val="24"/>
        </w:rPr>
      </w:pPr>
      <w:r>
        <w:rPr>
          <w:rFonts w:cs="Times New Roman"/>
          <w:szCs w:val="24"/>
        </w:rPr>
        <w:t xml:space="preserve"> un koeficienti </w:t>
      </w:r>
      <w:r w:rsidR="00261F02">
        <w:rPr>
          <w:rFonts w:cs="Times New Roman"/>
          <w:szCs w:val="24"/>
        </w:rPr>
        <w:t>pašvaldību grupām,</w:t>
      </w:r>
    </w:p>
    <w:p w:rsidR="0015102A" w:rsidRPr="0015102A" w:rsidRDefault="0015102A" w:rsidP="0015102A">
      <w:pPr>
        <w:spacing w:after="0"/>
        <w:jc w:val="right"/>
        <w:rPr>
          <w:rFonts w:cs="Times New Roman"/>
          <w:szCs w:val="24"/>
        </w:rPr>
      </w:pPr>
      <w:r>
        <w:rPr>
          <w:rFonts w:cs="Times New Roman"/>
          <w:szCs w:val="24"/>
        </w:rPr>
        <w:t>i</w:t>
      </w:r>
      <w:r w:rsidRPr="0015102A">
        <w:rPr>
          <w:rFonts w:cs="Times New Roman"/>
          <w:szCs w:val="24"/>
        </w:rPr>
        <w:t>zglītības programmas vai apmācības veida</w:t>
      </w:r>
      <w:r w:rsidR="00261F02">
        <w:rPr>
          <w:rFonts w:cs="Times New Roman"/>
          <w:szCs w:val="24"/>
        </w:rPr>
        <w:t>m</w:t>
      </w:r>
    </w:p>
    <w:tbl>
      <w:tblPr>
        <w:tblW w:w="8418" w:type="dxa"/>
        <w:tblInd w:w="1075" w:type="dxa"/>
        <w:tblLook w:val="04A0" w:firstRow="1" w:lastRow="0" w:firstColumn="1" w:lastColumn="0" w:noHBand="0" w:noVBand="1"/>
      </w:tblPr>
      <w:tblGrid>
        <w:gridCol w:w="3510"/>
        <w:gridCol w:w="1260"/>
        <w:gridCol w:w="1800"/>
        <w:gridCol w:w="1848"/>
      </w:tblGrid>
      <w:tr w:rsidR="0015102A" w:rsidRPr="0015102A" w:rsidTr="0015102A">
        <w:trPr>
          <w:trHeight w:val="224"/>
        </w:trPr>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02A" w:rsidRPr="0015102A" w:rsidRDefault="0015102A" w:rsidP="0015102A">
            <w:pPr>
              <w:spacing w:after="0" w:line="240" w:lineRule="auto"/>
              <w:ind w:firstLine="0"/>
              <w:jc w:val="right"/>
              <w:rPr>
                <w:rFonts w:eastAsia="Times New Roman" w:cs="Times New Roman"/>
                <w:color w:val="000000"/>
                <w:szCs w:val="24"/>
              </w:rPr>
            </w:pPr>
            <w:r>
              <w:rPr>
                <w:rFonts w:eastAsia="Times New Roman" w:cs="Times New Roman"/>
                <w:color w:val="000000"/>
                <w:szCs w:val="24"/>
              </w:rPr>
              <w:t>Klašu grupas</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15102A">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1.-6.</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15102A">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7.-9.</w:t>
            </w:r>
          </w:p>
        </w:tc>
        <w:tc>
          <w:tcPr>
            <w:tcW w:w="1848" w:type="dxa"/>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15102A">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10.-12.</w:t>
            </w:r>
          </w:p>
        </w:tc>
      </w:tr>
      <w:tr w:rsidR="0015102A" w:rsidRPr="0015102A" w:rsidTr="007A78A9">
        <w:trPr>
          <w:trHeight w:val="439"/>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left"/>
              <w:rPr>
                <w:rFonts w:eastAsia="Times New Roman" w:cs="Times New Roman"/>
                <w:b/>
                <w:bCs/>
                <w:color w:val="000000"/>
                <w:szCs w:val="24"/>
              </w:rPr>
            </w:pPr>
            <w:r w:rsidRPr="0015102A">
              <w:rPr>
                <w:rFonts w:eastAsia="Times New Roman" w:cs="Times New Roman"/>
                <w:b/>
                <w:bCs/>
                <w:color w:val="000000"/>
                <w:szCs w:val="24"/>
              </w:rPr>
              <w:t>Valsts finansējums vienam izglītojamam (</w:t>
            </w:r>
            <w:r w:rsidRPr="0015102A">
              <w:rPr>
                <w:rFonts w:eastAsia="Times New Roman" w:cs="Times New Roman"/>
                <w:b/>
                <w:bCs/>
                <w:i/>
                <w:color w:val="000000"/>
                <w:szCs w:val="24"/>
              </w:rPr>
              <w:t>euro</w:t>
            </w:r>
            <w:r w:rsidRPr="0015102A">
              <w:rPr>
                <w:rFonts w:eastAsia="Times New Roman" w:cs="Times New Roman"/>
                <w:b/>
                <w:bCs/>
                <w:color w:val="000000"/>
                <w:szCs w:val="24"/>
              </w:rPr>
              <w:t xml:space="preserve"> mēnesī)</w:t>
            </w:r>
          </w:p>
        </w:tc>
        <w:tc>
          <w:tcPr>
            <w:tcW w:w="1260" w:type="dxa"/>
            <w:tcBorders>
              <w:top w:val="nil"/>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right"/>
              <w:rPr>
                <w:rFonts w:eastAsia="Times New Roman" w:cs="Times New Roman"/>
                <w:b/>
                <w:color w:val="000000"/>
                <w:szCs w:val="24"/>
              </w:rPr>
            </w:pPr>
            <w:r w:rsidRPr="0015102A">
              <w:rPr>
                <w:rFonts w:eastAsia="Times New Roman" w:cs="Times New Roman"/>
                <w:b/>
                <w:color w:val="000000"/>
                <w:szCs w:val="24"/>
              </w:rPr>
              <w:t xml:space="preserve">122 </w:t>
            </w:r>
            <w:r w:rsidRPr="0015102A">
              <w:rPr>
                <w:rFonts w:eastAsia="Times New Roman" w:cs="Times New Roman"/>
                <w:b/>
                <w:i/>
                <w:color w:val="000000"/>
                <w:szCs w:val="24"/>
              </w:rPr>
              <w:t>euro</w:t>
            </w:r>
          </w:p>
        </w:tc>
        <w:tc>
          <w:tcPr>
            <w:tcW w:w="1800" w:type="dxa"/>
            <w:tcBorders>
              <w:top w:val="nil"/>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right"/>
              <w:rPr>
                <w:rFonts w:eastAsia="Times New Roman" w:cs="Times New Roman"/>
                <w:b/>
                <w:color w:val="000000"/>
                <w:szCs w:val="24"/>
              </w:rPr>
            </w:pPr>
            <w:r w:rsidRPr="0015102A">
              <w:rPr>
                <w:rFonts w:eastAsia="Times New Roman" w:cs="Times New Roman"/>
                <w:b/>
                <w:color w:val="000000"/>
                <w:szCs w:val="24"/>
              </w:rPr>
              <w:t xml:space="preserve">158 </w:t>
            </w:r>
            <w:r w:rsidRPr="0015102A">
              <w:rPr>
                <w:rFonts w:eastAsia="Times New Roman" w:cs="Times New Roman"/>
                <w:b/>
                <w:i/>
                <w:color w:val="000000"/>
                <w:szCs w:val="24"/>
              </w:rPr>
              <w:t>euro</w:t>
            </w:r>
          </w:p>
        </w:tc>
        <w:tc>
          <w:tcPr>
            <w:tcW w:w="1848" w:type="dxa"/>
            <w:tcBorders>
              <w:top w:val="nil"/>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right"/>
              <w:rPr>
                <w:rFonts w:eastAsia="Times New Roman" w:cs="Times New Roman"/>
                <w:b/>
                <w:color w:val="000000"/>
                <w:szCs w:val="24"/>
              </w:rPr>
            </w:pPr>
            <w:r w:rsidRPr="0015102A">
              <w:rPr>
                <w:rFonts w:eastAsia="Times New Roman" w:cs="Times New Roman"/>
                <w:b/>
                <w:color w:val="000000"/>
                <w:szCs w:val="24"/>
              </w:rPr>
              <w:t xml:space="preserve">169 </w:t>
            </w:r>
            <w:r w:rsidRPr="0015102A">
              <w:rPr>
                <w:rFonts w:eastAsia="Times New Roman" w:cs="Times New Roman"/>
                <w:b/>
                <w:i/>
                <w:color w:val="000000"/>
                <w:szCs w:val="24"/>
              </w:rPr>
              <w:t>euro</w:t>
            </w:r>
            <w:r w:rsidRPr="0015102A">
              <w:rPr>
                <w:rFonts w:eastAsia="Times New Roman" w:cs="Times New Roman"/>
                <w:b/>
                <w:color w:val="000000"/>
                <w:szCs w:val="24"/>
              </w:rPr>
              <w:t xml:space="preserve"> </w:t>
            </w:r>
          </w:p>
        </w:tc>
      </w:tr>
      <w:tr w:rsidR="0015102A" w:rsidRPr="0015102A" w:rsidTr="007A78A9">
        <w:trPr>
          <w:trHeight w:val="224"/>
        </w:trPr>
        <w:tc>
          <w:tcPr>
            <w:tcW w:w="3510" w:type="dxa"/>
            <w:tcBorders>
              <w:top w:val="nil"/>
              <w:left w:val="single" w:sz="4" w:space="0" w:color="auto"/>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left"/>
              <w:rPr>
                <w:rFonts w:eastAsia="Times New Roman" w:cs="Times New Roman"/>
                <w:color w:val="000000"/>
                <w:szCs w:val="24"/>
              </w:rPr>
            </w:pPr>
            <w:r w:rsidRPr="0015102A">
              <w:rPr>
                <w:rFonts w:eastAsia="Times New Roman" w:cs="Times New Roman"/>
                <w:color w:val="000000"/>
                <w:szCs w:val="24"/>
              </w:rPr>
              <w:t>Rīga</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0,80</w:t>
            </w:r>
          </w:p>
        </w:tc>
      </w:tr>
      <w:tr w:rsidR="0015102A" w:rsidRPr="0015102A" w:rsidTr="007A78A9">
        <w:trPr>
          <w:trHeight w:val="655"/>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left"/>
              <w:rPr>
                <w:rFonts w:eastAsia="Times New Roman" w:cs="Times New Roman"/>
                <w:color w:val="000000"/>
                <w:szCs w:val="24"/>
              </w:rPr>
            </w:pPr>
            <w:r w:rsidRPr="0015102A">
              <w:rPr>
                <w:rFonts w:eastAsia="Times New Roman" w:cs="Times New Roman"/>
                <w:color w:val="000000"/>
                <w:szCs w:val="24"/>
              </w:rPr>
              <w:t>Valstspilsētas (Liepāja, Ventspils, Jelgava, Rēzekne, Daugavpils)</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0,85</w:t>
            </w:r>
          </w:p>
        </w:tc>
      </w:tr>
      <w:tr w:rsidR="0015102A" w:rsidRPr="0015102A" w:rsidTr="007A78A9">
        <w:trPr>
          <w:trHeight w:val="655"/>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261F02" w:rsidP="007A78A9">
            <w:pPr>
              <w:spacing w:after="0" w:line="240" w:lineRule="auto"/>
              <w:ind w:firstLine="0"/>
              <w:jc w:val="left"/>
              <w:rPr>
                <w:rFonts w:eastAsia="Times New Roman" w:cs="Times New Roman"/>
                <w:color w:val="000000"/>
                <w:szCs w:val="24"/>
              </w:rPr>
            </w:pPr>
            <w:r>
              <w:rPr>
                <w:rFonts w:eastAsia="Times New Roman" w:cs="Times New Roman"/>
                <w:color w:val="000000"/>
                <w:szCs w:val="24"/>
              </w:rPr>
              <w:t>Pašvaldības</w:t>
            </w:r>
            <w:r w:rsidR="0015102A" w:rsidRPr="0015102A">
              <w:rPr>
                <w:rFonts w:eastAsia="Times New Roman" w:cs="Times New Roman"/>
                <w:color w:val="000000"/>
                <w:szCs w:val="24"/>
              </w:rPr>
              <w:t xml:space="preserve"> ar zemu izglītojamo blīvumu</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1,15</w:t>
            </w:r>
          </w:p>
        </w:tc>
      </w:tr>
      <w:tr w:rsidR="0015102A" w:rsidRPr="0015102A" w:rsidTr="007A78A9">
        <w:trPr>
          <w:trHeight w:val="224"/>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Speciālajās programmās</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ind w:firstLine="0"/>
              <w:jc w:val="center"/>
              <w:rPr>
                <w:rFonts w:cs="Times New Roman"/>
                <w:color w:val="000000"/>
                <w:szCs w:val="24"/>
                <w:lang w:val="en-US"/>
              </w:rPr>
            </w:pPr>
            <w:r w:rsidRPr="0015102A">
              <w:rPr>
                <w:rFonts w:cs="Times New Roman"/>
                <w:color w:val="000000"/>
                <w:szCs w:val="24"/>
                <w:lang w:val="en-US"/>
              </w:rPr>
              <w:t>1,93</w:t>
            </w:r>
          </w:p>
        </w:tc>
      </w:tr>
      <w:tr w:rsidR="0015102A" w:rsidRPr="0015102A" w:rsidTr="007A78A9">
        <w:trPr>
          <w:trHeight w:val="439"/>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Vakara izglītības programmās</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ind w:firstLine="0"/>
              <w:jc w:val="center"/>
              <w:rPr>
                <w:rFonts w:cs="Times New Roman"/>
                <w:color w:val="000000"/>
                <w:szCs w:val="24"/>
                <w:lang w:val="en-US"/>
              </w:rPr>
            </w:pPr>
            <w:r w:rsidRPr="0015102A">
              <w:rPr>
                <w:rFonts w:cs="Times New Roman"/>
                <w:color w:val="000000"/>
                <w:szCs w:val="24"/>
                <w:lang w:val="en-US"/>
              </w:rPr>
              <w:t>0,75</w:t>
            </w:r>
          </w:p>
        </w:tc>
      </w:tr>
      <w:tr w:rsidR="0015102A" w:rsidRPr="0015102A" w:rsidTr="007A78A9">
        <w:trPr>
          <w:trHeight w:val="439"/>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Neklātienes un tālmācības formā</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0,61</w:t>
            </w:r>
          </w:p>
        </w:tc>
      </w:tr>
      <w:tr w:rsidR="0015102A" w:rsidRPr="0015102A" w:rsidTr="007A78A9">
        <w:trPr>
          <w:trHeight w:val="224"/>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Ieslodzījuma vietās</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0,85</w:t>
            </w:r>
          </w:p>
        </w:tc>
      </w:tr>
      <w:tr w:rsidR="0015102A" w:rsidRPr="0015102A" w:rsidTr="007A78A9">
        <w:trPr>
          <w:trHeight w:val="224"/>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Valsts ģimnāzijās</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1,17</w:t>
            </w:r>
          </w:p>
        </w:tc>
      </w:tr>
      <w:tr w:rsidR="0015102A" w:rsidRPr="0015102A" w:rsidTr="007A78A9">
        <w:trPr>
          <w:trHeight w:val="224"/>
        </w:trPr>
        <w:tc>
          <w:tcPr>
            <w:tcW w:w="3510" w:type="dxa"/>
            <w:tcBorders>
              <w:top w:val="nil"/>
              <w:left w:val="single" w:sz="4" w:space="0" w:color="auto"/>
              <w:bottom w:val="single" w:sz="4" w:space="0" w:color="auto"/>
              <w:right w:val="single" w:sz="4" w:space="0" w:color="auto"/>
            </w:tcBorders>
            <w:shd w:val="clear" w:color="auto" w:fill="auto"/>
            <w:vAlign w:val="center"/>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Pamatizglītības profesionāli orientētā programma (Mūzika)</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1,15</w:t>
            </w:r>
          </w:p>
        </w:tc>
      </w:tr>
      <w:tr w:rsidR="0015102A" w:rsidRPr="0015102A" w:rsidTr="007A78A9">
        <w:trPr>
          <w:trHeight w:val="224"/>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15102A" w:rsidRPr="0015102A" w:rsidRDefault="0015102A" w:rsidP="007A78A9">
            <w:pPr>
              <w:spacing w:after="0" w:line="240" w:lineRule="auto"/>
              <w:ind w:firstLine="0"/>
              <w:jc w:val="right"/>
              <w:rPr>
                <w:rFonts w:eastAsia="Times New Roman" w:cs="Times New Roman"/>
                <w:color w:val="000000"/>
                <w:szCs w:val="24"/>
              </w:rPr>
            </w:pPr>
            <w:r w:rsidRPr="0015102A">
              <w:rPr>
                <w:rFonts w:eastAsia="Times New Roman" w:cs="Times New Roman"/>
                <w:color w:val="000000"/>
                <w:szCs w:val="24"/>
              </w:rPr>
              <w:t>Eksternātā</w:t>
            </w:r>
          </w:p>
        </w:tc>
        <w:tc>
          <w:tcPr>
            <w:tcW w:w="4908" w:type="dxa"/>
            <w:gridSpan w:val="3"/>
            <w:tcBorders>
              <w:top w:val="single" w:sz="4" w:space="0" w:color="auto"/>
              <w:left w:val="nil"/>
              <w:bottom w:val="single" w:sz="4" w:space="0" w:color="auto"/>
              <w:right w:val="single" w:sz="4" w:space="0" w:color="auto"/>
            </w:tcBorders>
            <w:shd w:val="clear" w:color="auto" w:fill="auto"/>
            <w:noWrap/>
            <w:vAlign w:val="center"/>
            <w:hideMark/>
          </w:tcPr>
          <w:p w:rsidR="0015102A" w:rsidRPr="0015102A" w:rsidRDefault="0015102A" w:rsidP="007A78A9">
            <w:pPr>
              <w:spacing w:after="0" w:line="240" w:lineRule="auto"/>
              <w:ind w:firstLine="0"/>
              <w:jc w:val="center"/>
              <w:rPr>
                <w:rFonts w:eastAsia="Times New Roman" w:cs="Times New Roman"/>
                <w:color w:val="000000"/>
                <w:szCs w:val="24"/>
              </w:rPr>
            </w:pPr>
            <w:r w:rsidRPr="0015102A">
              <w:rPr>
                <w:rFonts w:eastAsia="Times New Roman" w:cs="Times New Roman"/>
                <w:color w:val="000000"/>
                <w:szCs w:val="24"/>
              </w:rPr>
              <w:t>0,06</w:t>
            </w:r>
          </w:p>
        </w:tc>
      </w:tr>
    </w:tbl>
    <w:p w:rsidR="0089560F" w:rsidRDefault="0089560F" w:rsidP="00261F02">
      <w:pPr>
        <w:ind w:firstLine="0"/>
        <w:jc w:val="left"/>
        <w:rPr>
          <w:rFonts w:cs="Times New Roman"/>
          <w:szCs w:val="24"/>
        </w:rPr>
      </w:pPr>
    </w:p>
    <w:p w:rsidR="00037D83" w:rsidRPr="00F6240B" w:rsidRDefault="00261F02" w:rsidP="00261F02">
      <w:pPr>
        <w:ind w:firstLine="0"/>
        <w:jc w:val="left"/>
      </w:pPr>
      <w:r w:rsidRPr="00F6240B">
        <w:t>Mērķdotāciju pašvaldībai aprēķina: attiecīgais skolēnu skaits pašvaldībā x mērķdotācija vienam skolēnam x atbilstošie koeficienti (reģionālais, programmas veida vai mācību formas (tālmācība, neklātiene u.c.).</w:t>
      </w:r>
    </w:p>
    <w:p w:rsidR="006863C1" w:rsidRPr="00037D83" w:rsidRDefault="00261F02" w:rsidP="00037D83">
      <w:pPr>
        <w:ind w:firstLine="0"/>
        <w:rPr>
          <w:i/>
        </w:rPr>
      </w:pPr>
      <w:r w:rsidRPr="00261F02">
        <w:rPr>
          <w:i/>
        </w:rPr>
        <w:t xml:space="preserve"> </w:t>
      </w:r>
      <w:r w:rsidRPr="00037D83">
        <w:rPr>
          <w:b/>
          <w:i/>
        </w:rPr>
        <w:t>Piemēram:</w:t>
      </w:r>
      <w:r w:rsidRPr="00261F02">
        <w:rPr>
          <w:i/>
        </w:rPr>
        <w:t xml:space="preserve"> Mērķdotācija Rīgai = Rīgas 1.</w:t>
      </w:r>
      <w:r w:rsidR="007A78A9">
        <w:rPr>
          <w:i/>
        </w:rPr>
        <w:t>-</w:t>
      </w:r>
      <w:r w:rsidRPr="00261F02">
        <w:rPr>
          <w:i/>
        </w:rPr>
        <w:t xml:space="preserve">6.klašu skolēnu skaits </w:t>
      </w:r>
      <w:r w:rsidR="007A78A9">
        <w:rPr>
          <w:i/>
        </w:rPr>
        <w:t>x</w:t>
      </w:r>
      <w:r w:rsidRPr="00261F02">
        <w:rPr>
          <w:i/>
        </w:rPr>
        <w:t xml:space="preserve">  122 euro </w:t>
      </w:r>
      <w:r w:rsidR="007A78A9">
        <w:rPr>
          <w:i/>
        </w:rPr>
        <w:t>x</w:t>
      </w:r>
      <w:r w:rsidRPr="00261F02">
        <w:rPr>
          <w:i/>
        </w:rPr>
        <w:t xml:space="preserve"> 0,8 +Rīgas 7.</w:t>
      </w:r>
      <w:r w:rsidR="007A78A9">
        <w:rPr>
          <w:i/>
        </w:rPr>
        <w:t>-</w:t>
      </w:r>
      <w:r w:rsidRPr="00261F02">
        <w:rPr>
          <w:i/>
        </w:rPr>
        <w:t xml:space="preserve">9.klašu skolēnu </w:t>
      </w:r>
      <w:r w:rsidR="007A78A9">
        <w:rPr>
          <w:i/>
        </w:rPr>
        <w:t>x</w:t>
      </w:r>
      <w:r w:rsidRPr="00261F02">
        <w:rPr>
          <w:i/>
        </w:rPr>
        <w:t xml:space="preserve"> 158 euro </w:t>
      </w:r>
      <w:r w:rsidR="007A78A9">
        <w:rPr>
          <w:i/>
        </w:rPr>
        <w:t>x</w:t>
      </w:r>
      <w:r w:rsidRPr="00261F02">
        <w:rPr>
          <w:i/>
        </w:rPr>
        <w:t xml:space="preserve"> 0,8 +Rīgas 10.</w:t>
      </w:r>
      <w:r w:rsidR="007A78A9">
        <w:rPr>
          <w:i/>
        </w:rPr>
        <w:t>-</w:t>
      </w:r>
      <w:r w:rsidRPr="00261F02">
        <w:rPr>
          <w:i/>
        </w:rPr>
        <w:t xml:space="preserve">12.klašu skolēnu skaits </w:t>
      </w:r>
      <w:r w:rsidR="007A78A9">
        <w:rPr>
          <w:i/>
        </w:rPr>
        <w:t>x</w:t>
      </w:r>
      <w:r w:rsidRPr="00261F02">
        <w:rPr>
          <w:i/>
        </w:rPr>
        <w:t xml:space="preserve"> 169 euro </w:t>
      </w:r>
      <w:r w:rsidR="007A78A9">
        <w:rPr>
          <w:i/>
        </w:rPr>
        <w:t>x</w:t>
      </w:r>
      <w:r w:rsidRPr="00261F02">
        <w:rPr>
          <w:i/>
        </w:rPr>
        <w:t xml:space="preserve"> 0,8 +  Rīgas valsts ģimnāziju 10.</w:t>
      </w:r>
      <w:r w:rsidR="007A78A9">
        <w:rPr>
          <w:i/>
        </w:rPr>
        <w:t>-</w:t>
      </w:r>
      <w:r w:rsidRPr="00261F02">
        <w:rPr>
          <w:i/>
        </w:rPr>
        <w:t xml:space="preserve">12. klašu skolēnu skaits </w:t>
      </w:r>
      <w:r w:rsidR="007A78A9">
        <w:rPr>
          <w:i/>
        </w:rPr>
        <w:t>x</w:t>
      </w:r>
      <w:r w:rsidRPr="00261F02">
        <w:rPr>
          <w:i/>
        </w:rPr>
        <w:t xml:space="preserve"> 169 euro </w:t>
      </w:r>
      <w:r w:rsidR="007A78A9">
        <w:rPr>
          <w:i/>
        </w:rPr>
        <w:t>x</w:t>
      </w:r>
      <w:r w:rsidRPr="00261F02">
        <w:rPr>
          <w:i/>
        </w:rPr>
        <w:t xml:space="preserve"> 0,8 </w:t>
      </w:r>
      <w:r w:rsidR="007A78A9">
        <w:rPr>
          <w:i/>
        </w:rPr>
        <w:t>x</w:t>
      </w:r>
      <w:r w:rsidRPr="00261F02">
        <w:rPr>
          <w:i/>
        </w:rPr>
        <w:t xml:space="preserve"> 1,17 + Rīgas 1.</w:t>
      </w:r>
      <w:r w:rsidR="007A78A9">
        <w:rPr>
          <w:i/>
        </w:rPr>
        <w:t>-</w:t>
      </w:r>
      <w:r w:rsidRPr="00261F02">
        <w:rPr>
          <w:i/>
        </w:rPr>
        <w:t xml:space="preserve">6.klašu skolēnu skaits pamatizglītības profesionāli orientētā programmā (Mūzika) </w:t>
      </w:r>
      <w:r w:rsidR="007A78A9">
        <w:rPr>
          <w:i/>
        </w:rPr>
        <w:t>x</w:t>
      </w:r>
      <w:r w:rsidRPr="00261F02">
        <w:rPr>
          <w:i/>
        </w:rPr>
        <w:t xml:space="preserve"> 122 euro </w:t>
      </w:r>
      <w:r w:rsidR="007A78A9">
        <w:rPr>
          <w:i/>
        </w:rPr>
        <w:t>x</w:t>
      </w:r>
      <w:r w:rsidRPr="00261F02">
        <w:rPr>
          <w:i/>
        </w:rPr>
        <w:t xml:space="preserve"> 0,8 </w:t>
      </w:r>
      <w:r w:rsidR="007A78A9">
        <w:rPr>
          <w:i/>
        </w:rPr>
        <w:t>x</w:t>
      </w:r>
      <w:r w:rsidRPr="00261F02">
        <w:rPr>
          <w:i/>
        </w:rPr>
        <w:t xml:space="preserve"> 1,15+ ....</w:t>
      </w:r>
    </w:p>
    <w:p w:rsidR="00D17169" w:rsidRPr="002014E0" w:rsidRDefault="00F471D8" w:rsidP="006863C1">
      <w:r w:rsidRPr="00F471D8">
        <w:rPr>
          <w:b/>
        </w:rPr>
        <w:t>M</w:t>
      </w:r>
      <w:r w:rsidR="006863C1" w:rsidRPr="00F471D8">
        <w:rPr>
          <w:b/>
        </w:rPr>
        <w:t>odelis Nr. 3 apraksta valsts finansē</w:t>
      </w:r>
      <w:r w:rsidR="00F6240B">
        <w:rPr>
          <w:b/>
        </w:rPr>
        <w:t>juma pašvaldībām aprēķina veidu.</w:t>
      </w:r>
      <w:r w:rsidR="006863C1" w:rsidRPr="00F471D8">
        <w:rPr>
          <w:b/>
        </w:rPr>
        <w:t xml:space="preserve"> </w:t>
      </w:r>
      <w:r w:rsidR="00F6240B">
        <w:rPr>
          <w:b/>
        </w:rPr>
        <w:t>P</w:t>
      </w:r>
      <w:r w:rsidR="006863C1" w:rsidRPr="00F471D8">
        <w:rPr>
          <w:b/>
        </w:rPr>
        <w:t xml:space="preserve">ašvaldības veic aprēķinātās mērķdotācijas sadali vispārējās izglitības iestādēm pedagogu darba samaksai, </w:t>
      </w:r>
      <w:r w:rsidR="006863C1" w:rsidRPr="002014E0">
        <w:t>atbilstoši pašvaldībā izstrādātajai un apstiprinātajai mērķdotācijas sadales kārtībai, ņemot vērā normatīvajā regulējumā noteikto zemāko pedagogu darba algas likmi, pedagogu darba slodzes lielumu.</w:t>
      </w:r>
    </w:p>
    <w:p w:rsidR="008C06A5" w:rsidRDefault="00344D32" w:rsidP="008C06A5">
      <w:pPr>
        <w:ind w:firstLine="0"/>
      </w:pPr>
      <w:r w:rsidRPr="00344D32">
        <w:tab/>
        <w:t xml:space="preserve">Spēkā </w:t>
      </w:r>
      <w:r>
        <w:t xml:space="preserve">esošajā mērķdotācijas aprēķinā būtiski atšķiras valsts finansējums pedagogu darba samaksai dažādām pašvaldībām, </w:t>
      </w:r>
      <w:r w:rsidR="0031615F">
        <w:t>jo</w:t>
      </w:r>
      <w:r w:rsidR="0089560F">
        <w:t>,</w:t>
      </w:r>
      <w:r>
        <w:t xml:space="preserve"> </w:t>
      </w:r>
      <w:r w:rsidR="0089560F">
        <w:t xml:space="preserve">finansējumu aprēķinot skolai, </w:t>
      </w:r>
      <w:r>
        <w:t xml:space="preserve">tika piemēroti 7 dažādi reģionālie koeficienti (piemēram: Rīgai </w:t>
      </w:r>
      <w:r w:rsidR="007A78A9">
        <w:t xml:space="preserve">– </w:t>
      </w:r>
      <w:r>
        <w:t xml:space="preserve">16,5; Ventspils novadam – 10), </w:t>
      </w:r>
      <w:r w:rsidR="0089560F">
        <w:t xml:space="preserve">kā </w:t>
      </w:r>
      <w:r>
        <w:t>arī dažādām vi</w:t>
      </w:r>
      <w:r w:rsidR="005521B6">
        <w:t>enas pašvaldības skolām atšķiras</w:t>
      </w:r>
      <w:r>
        <w:t xml:space="preserve"> reģionālie koeficienti</w:t>
      </w:r>
      <w:r>
        <w:rPr>
          <w:rStyle w:val="FootnoteReference"/>
        </w:rPr>
        <w:footnoteReference w:id="17"/>
      </w:r>
      <w:r w:rsidR="00F6240B">
        <w:t xml:space="preserve"> </w:t>
      </w:r>
      <w:r w:rsidR="00F6240B" w:rsidRPr="00F6240B">
        <w:t xml:space="preserve">(piemēram: Kuldīgas pilsētas skolām – 13; </w:t>
      </w:r>
      <w:r w:rsidR="00F6240B" w:rsidRPr="00F6240B">
        <w:lastRenderedPageBreak/>
        <w:t>Kuldīgas novada skolām – 10,5</w:t>
      </w:r>
      <w:r w:rsidR="00F6240B">
        <w:t xml:space="preserve">). </w:t>
      </w:r>
      <w:r w:rsidR="0089560F">
        <w:t xml:space="preserve">Tādēļ, veicot mērķdotācijas aprēķinus, izmantojot iepriekš </w:t>
      </w:r>
      <w:r w:rsidR="00512780">
        <w:t>aprakstīto modeli Nr.3, kur tiek izmantoti trīs raksturlielumi -  valsts finansējums</w:t>
      </w:r>
      <w:r w:rsidR="0089560F">
        <w:t xml:space="preserve"> pedagogu darba samaksai vienam </w:t>
      </w:r>
      <w:r w:rsidR="002F01B9">
        <w:t>izglītojamam</w:t>
      </w:r>
      <w:r w:rsidR="0089560F">
        <w:t xml:space="preserve">, </w:t>
      </w:r>
      <w:r w:rsidR="00037D83" w:rsidRPr="0052348F">
        <w:t>6</w:t>
      </w:r>
      <w:r w:rsidR="0089560F" w:rsidRPr="0052348F">
        <w:t>.tabulas</w:t>
      </w:r>
      <w:r w:rsidR="00512780">
        <w:t xml:space="preserve"> koeficienti</w:t>
      </w:r>
      <w:r w:rsidR="0089560F">
        <w:t xml:space="preserve"> un izglītoja</w:t>
      </w:r>
      <w:r w:rsidR="0031615F">
        <w:t>mo skaits pašvaldībās 01.09.2020</w:t>
      </w:r>
      <w:r w:rsidR="0089560F">
        <w:t>., mēŗkdotāciju apjomi atšķiras no 2020./2021.</w:t>
      </w:r>
      <w:r w:rsidR="00ED4BC6" w:rsidRPr="00ED4BC6">
        <w:t xml:space="preserve"> mācību gadā</w:t>
      </w:r>
      <w:r w:rsidR="0089560F">
        <w:t xml:space="preserve"> vienam mēnesim aprēķinātās</w:t>
      </w:r>
      <w:r w:rsidR="00F6240B">
        <w:t xml:space="preserve">. </w:t>
      </w:r>
      <w:r w:rsidR="00512780">
        <w:t>Būtisks atšķirību cēl</w:t>
      </w:r>
      <w:r w:rsidR="002F01B9">
        <w:t>o</w:t>
      </w:r>
      <w:r w:rsidR="00512780">
        <w:t>nis ir</w:t>
      </w:r>
      <w:r w:rsidR="0089560F">
        <w:t xml:space="preserve"> tas, ka vairāki jaunie novadi ir izveidoti no novadiem, kuriem mērķdotāciju aprēķināja ar atšķirīgiem </w:t>
      </w:r>
      <w:r w:rsidR="002B2C8F">
        <w:t xml:space="preserve">reģionālajiem koeficientiem; piemēram, Cēsu novads ir izveidots no 7 novadiem, kuriem mērķdotācijas aprēķinā tika piemēroti </w:t>
      </w:r>
      <w:r w:rsidR="00F6240B">
        <w:t>trīs</w:t>
      </w:r>
      <w:r w:rsidR="00512780">
        <w:t xml:space="preserve"> dažādi reģionālie koeficienti.</w:t>
      </w:r>
    </w:p>
    <w:p w:rsidR="00512780" w:rsidRDefault="00512780" w:rsidP="008C06A5">
      <w:pPr>
        <w:ind w:firstLine="0"/>
      </w:pPr>
      <w:r>
        <w:tab/>
      </w:r>
      <w:r w:rsidR="002971B9">
        <w:t>Ieviešot m</w:t>
      </w:r>
      <w:r>
        <w:t>odeli Nr.3 no 2022. gada 1. septembra:</w:t>
      </w:r>
    </w:p>
    <w:p w:rsidR="00512780" w:rsidRDefault="00512780" w:rsidP="00A0536E">
      <w:pPr>
        <w:pStyle w:val="ListParagraph"/>
        <w:numPr>
          <w:ilvl w:val="0"/>
          <w:numId w:val="6"/>
        </w:numPr>
      </w:pPr>
      <w:r>
        <w:t xml:space="preserve">Jāpārrēķina </w:t>
      </w:r>
      <w:r w:rsidR="002A5EB7" w:rsidRPr="0052348F">
        <w:t>6</w:t>
      </w:r>
      <w:r w:rsidR="00212EF8" w:rsidRPr="0052348F">
        <w:t>.</w:t>
      </w:r>
      <w:r w:rsidRPr="0052348F">
        <w:t xml:space="preserve"> tabulā</w:t>
      </w:r>
      <w:r>
        <w:t xml:space="preserve"> ietvertās </w:t>
      </w:r>
      <w:r w:rsidR="002A5EB7">
        <w:t>mērķdotācijas</w:t>
      </w:r>
      <w:r w:rsidRPr="00512780">
        <w:t xml:space="preserve"> </w:t>
      </w:r>
      <w:r>
        <w:t xml:space="preserve">izmaksas </w:t>
      </w:r>
      <w:r w:rsidRPr="00512780">
        <w:t xml:space="preserve">vienam </w:t>
      </w:r>
      <w:r w:rsidR="008B2B03">
        <w:t xml:space="preserve">izglītojamam </w:t>
      </w:r>
      <w:r>
        <w:t xml:space="preserve">un </w:t>
      </w:r>
      <w:r w:rsidR="00FF7D48">
        <w:t>koefici</w:t>
      </w:r>
      <w:r w:rsidR="002F01B9">
        <w:t>e</w:t>
      </w:r>
      <w:r w:rsidR="00FF7D48">
        <w:t xml:space="preserve">nti atbilstoši </w:t>
      </w:r>
      <w:r w:rsidR="002F01B9">
        <w:t xml:space="preserve">izglītojamo </w:t>
      </w:r>
      <w:r w:rsidR="00FF7D48">
        <w:t>skaitam jaunajā administratīvi teritoriālajā iedalījumā un 2021./2022.</w:t>
      </w:r>
      <w:r w:rsidR="00ED4BC6" w:rsidRPr="00ED4BC6">
        <w:t xml:space="preserve"> mācību gadā </w:t>
      </w:r>
      <w:r w:rsidR="00FF7D48">
        <w:t>vienam mēnesim aprēķinātajai mērķdotācijai.</w:t>
      </w:r>
    </w:p>
    <w:p w:rsidR="00FF7D48" w:rsidRDefault="00FF7D48" w:rsidP="00A0536E">
      <w:pPr>
        <w:pStyle w:val="ListParagraph"/>
        <w:numPr>
          <w:ilvl w:val="0"/>
          <w:numId w:val="6"/>
        </w:numPr>
      </w:pPr>
      <w:r>
        <w:t>Lai mazinātu</w:t>
      </w:r>
      <w:r w:rsidR="00047308">
        <w:t xml:space="preserve"> pašvaldībām aprēķinātās mērķdotācijas</w:t>
      </w:r>
      <w:r w:rsidR="009A2E17">
        <w:t xml:space="preserve"> </w:t>
      </w:r>
      <w:r w:rsidR="002A5EB7">
        <w:t xml:space="preserve">atšķirības, </w:t>
      </w:r>
      <w:r>
        <w:t>normatīvajā regulējumā</w:t>
      </w:r>
      <w:r w:rsidR="00D80215">
        <w:t xml:space="preserve"> </w:t>
      </w:r>
      <w:r>
        <w:t xml:space="preserve"> paredzēt, ka</w:t>
      </w:r>
      <w:r w:rsidR="00D80215">
        <w:t xml:space="preserve"> 2022./2023.</w:t>
      </w:r>
      <w:r w:rsidR="00ED4BC6" w:rsidRPr="00ED4BC6">
        <w:t xml:space="preserve"> mācību gadā</w:t>
      </w:r>
      <w:r>
        <w:t>:</w:t>
      </w:r>
    </w:p>
    <w:p w:rsidR="00FF7D48" w:rsidRDefault="00FF7D48" w:rsidP="00A0536E">
      <w:pPr>
        <w:pStyle w:val="ListParagraph"/>
        <w:numPr>
          <w:ilvl w:val="1"/>
          <w:numId w:val="6"/>
        </w:numPr>
      </w:pPr>
      <w:r>
        <w:t xml:space="preserve"> </w:t>
      </w:r>
      <w:r w:rsidR="006D40CC">
        <w:t>P</w:t>
      </w:r>
      <w:r>
        <w:t xml:space="preserve">ašvaldībām, kurām aprēķina maiņas dēļ palielinās viena mēneša mērķdotācijas apjoms salīdzinājumā ar iepriekšējā mācību gada viena mēneša mērķdotācijas apjomu, palielinājums tiek nodrošināts ne vairāk kā </w:t>
      </w:r>
      <w:r w:rsidR="002A5EB7">
        <w:t>3</w:t>
      </w:r>
      <w:r w:rsidR="00212EF8" w:rsidRPr="00212EF8">
        <w:t>% apmērā</w:t>
      </w:r>
      <w:r w:rsidR="00212EF8">
        <w:t>;</w:t>
      </w:r>
    </w:p>
    <w:p w:rsidR="00FF7D48" w:rsidRDefault="006D40CC" w:rsidP="00A0536E">
      <w:pPr>
        <w:pStyle w:val="ListParagraph"/>
        <w:numPr>
          <w:ilvl w:val="1"/>
          <w:numId w:val="6"/>
        </w:numPr>
      </w:pPr>
      <w:r>
        <w:t xml:space="preserve"> P</w:t>
      </w:r>
      <w:r w:rsidR="00FF7D48" w:rsidRPr="00FF7D48">
        <w:t xml:space="preserve">ašvaldībām, kurām aprēķina maiņas dēļ </w:t>
      </w:r>
      <w:r w:rsidR="00D80215">
        <w:t>samazinās</w:t>
      </w:r>
      <w:r w:rsidR="00FF7D48" w:rsidRPr="00FF7D48">
        <w:t xml:space="preserve"> viena mēneša mērķdotācijas apjoms salīdzinājumā ar iepriekšējā mācību gada viena mēneša mērķdotācijas apjomu, </w:t>
      </w:r>
      <w:r w:rsidR="00D80215">
        <w:t xml:space="preserve">samazinājums </w:t>
      </w:r>
      <w:r w:rsidR="00FF7D48" w:rsidRPr="00FF7D48">
        <w:t xml:space="preserve">tiek </w:t>
      </w:r>
      <w:r w:rsidR="00D80215">
        <w:t>kompensēts.</w:t>
      </w:r>
    </w:p>
    <w:p w:rsidR="00CD3A66" w:rsidRDefault="00260104" w:rsidP="002A5EB7">
      <w:pPr>
        <w:pStyle w:val="ListParagraph"/>
        <w:numPr>
          <w:ilvl w:val="0"/>
          <w:numId w:val="6"/>
        </w:numPr>
      </w:pPr>
      <w:r>
        <w:t>Arī 2023./2024. mācību gadam būs j</w:t>
      </w:r>
      <w:r w:rsidRPr="00260104">
        <w:t xml:space="preserve">āpārrēķina </w:t>
      </w:r>
      <w:r w:rsidR="002A5EB7" w:rsidRPr="0052348F">
        <w:t>6</w:t>
      </w:r>
      <w:r w:rsidR="00212EF8" w:rsidRPr="0052348F">
        <w:t>.</w:t>
      </w:r>
      <w:r w:rsidRPr="0052348F">
        <w:t xml:space="preserve"> tabulā</w:t>
      </w:r>
      <w:r>
        <w:t xml:space="preserve"> ietvertās </w:t>
      </w:r>
      <w:r w:rsidR="002A5EB7">
        <w:t>mērķdotācijas</w:t>
      </w:r>
      <w:r w:rsidRPr="00260104">
        <w:t xml:space="preserve"> izmaksas vienam izglītojamam un koeficienti atbilstoši 202</w:t>
      </w:r>
      <w:r>
        <w:t>2</w:t>
      </w:r>
      <w:r w:rsidRPr="00260104">
        <w:t>./202</w:t>
      </w:r>
      <w:r>
        <w:t>3</w:t>
      </w:r>
      <w:r w:rsidRPr="00260104">
        <w:t>. mācību gadā vienam mēnesim aprēķinātajai mērķdotācijai.</w:t>
      </w:r>
      <w:r>
        <w:t xml:space="preserve"> Turpmākajiem mācību gadiem</w:t>
      </w:r>
      <w:r w:rsidRPr="00260104">
        <w:t xml:space="preserve"> valsts finansējuma pedagogu darba samaksai izmaksas vienam izglītojamam un koeficienti</w:t>
      </w:r>
      <w:r>
        <w:t xml:space="preserve"> nebūs jāpārrēķina, jo atšķirības starp pašvaldībām būs mazinātas.</w:t>
      </w:r>
    </w:p>
    <w:p w:rsidR="00166AC7" w:rsidRDefault="00166AC7" w:rsidP="00166AC7">
      <w:pPr>
        <w:ind w:left="360" w:firstLine="0"/>
      </w:pPr>
      <w:r>
        <w:t>Lai turpmāk nodrošinātu pedagogu darba algas likmes pieaugumu, tad:</w:t>
      </w:r>
    </w:p>
    <w:p w:rsidR="00166AC7" w:rsidRDefault="00166AC7" w:rsidP="00166AC7">
      <w:pPr>
        <w:pStyle w:val="ListParagraph"/>
        <w:numPr>
          <w:ilvl w:val="0"/>
          <w:numId w:val="16"/>
        </w:numPr>
      </w:pPr>
      <w:r>
        <w:t xml:space="preserve">Katru gadu jāveic VIIS pedagogu tarifikācijas datu analīze, novērtējot pašvaldību veikto darbību skolu tīkla sakārtošanā ietekmi uz pedagogu darba samaksas pieaugumu; </w:t>
      </w:r>
    </w:p>
    <w:p w:rsidR="00166AC7" w:rsidRDefault="00166AC7" w:rsidP="00166AC7">
      <w:pPr>
        <w:pStyle w:val="ListParagraph"/>
        <w:numPr>
          <w:ilvl w:val="0"/>
          <w:numId w:val="16"/>
        </w:numPr>
      </w:pPr>
      <w:r>
        <w:t xml:space="preserve"> Jāsalīdzina reālās pedagogu darba algas likmes ar normatīvos noteikto zemāko darba algas likmi;</w:t>
      </w:r>
    </w:p>
    <w:p w:rsidR="00166AC7" w:rsidRDefault="00166AC7" w:rsidP="00166AC7">
      <w:pPr>
        <w:pStyle w:val="ListParagraph"/>
        <w:numPr>
          <w:ilvl w:val="0"/>
          <w:numId w:val="16"/>
        </w:numPr>
      </w:pPr>
      <w:r>
        <w:t>Papildus nepieciešamais valsts finansējums pedagogu zemākās darba algas likmes celšanai jāaprēķina, ņemot vērā reālās pedagogu darba algas likmes.</w:t>
      </w:r>
    </w:p>
    <w:p w:rsidR="008C06A5" w:rsidRDefault="002B2C8F" w:rsidP="008C06A5">
      <w:pPr>
        <w:ind w:firstLine="0"/>
      </w:pPr>
      <w:r>
        <w:t xml:space="preserve">Modeļa Nr. 3 </w:t>
      </w:r>
      <w:r w:rsidR="007A78A9">
        <w:t>"</w:t>
      </w:r>
      <w:r w:rsidR="002A5EB7">
        <w:t>Skolēns pašvaldībā</w:t>
      </w:r>
      <w:r w:rsidR="007A78A9">
        <w:t>"</w:t>
      </w:r>
      <w:r w:rsidR="00166AC7" w:rsidRPr="00166AC7">
        <w:t xml:space="preserve"> </w:t>
      </w:r>
      <w:r>
        <w:t>priekšrocības;</w:t>
      </w:r>
    </w:p>
    <w:p w:rsidR="00166AC7" w:rsidRPr="0052348F" w:rsidRDefault="00166AC7" w:rsidP="00166AC7">
      <w:pPr>
        <w:pStyle w:val="ListParagraph"/>
        <w:numPr>
          <w:ilvl w:val="0"/>
          <w:numId w:val="5"/>
        </w:numPr>
      </w:pPr>
      <w:r>
        <w:t xml:space="preserve">Vienkārša un saprotama mērķdotācijas aprēķina metodika, jo normatīvajā regulējumā tiek nostiprināts </w:t>
      </w:r>
      <w:r w:rsidR="002A5EB7">
        <w:t>mērķdotācijas</w:t>
      </w:r>
      <w:r>
        <w:t xml:space="preserve"> vienam izglītojamam apjoms pa klašu grupām, 3 reģionālie koeficienti, kā arī izglītības programmu un </w:t>
      </w:r>
      <w:r w:rsidR="002A5EB7">
        <w:t>apmācību veidu</w:t>
      </w:r>
      <w:r>
        <w:t xml:space="preserve"> koeficienti </w:t>
      </w:r>
      <w:r w:rsidRPr="0052348F">
        <w:t>(</w:t>
      </w:r>
      <w:r w:rsidR="002A5EB7" w:rsidRPr="0052348F">
        <w:t>6</w:t>
      </w:r>
      <w:r w:rsidRPr="0052348F">
        <w:t>. tabula).</w:t>
      </w:r>
    </w:p>
    <w:p w:rsidR="00166AC7" w:rsidRDefault="00166AC7" w:rsidP="00166AC7">
      <w:pPr>
        <w:pStyle w:val="ListParagraph"/>
        <w:numPr>
          <w:ilvl w:val="0"/>
          <w:numId w:val="5"/>
        </w:numPr>
      </w:pPr>
      <w:r>
        <w:lastRenderedPageBreak/>
        <w:t>Ļauj pašvaldībai mērķēti izmantot valsts finansējumu atbalsta sniegšanai izglītojamiem, t.i. identificēt izglītojamos, kam nepieciešami atbalsta pasākumi un finansējumu piešķirt attiecīgajām izglītības iestādēm.</w:t>
      </w:r>
    </w:p>
    <w:p w:rsidR="00166AC7" w:rsidRDefault="00166AC7" w:rsidP="00166AC7">
      <w:pPr>
        <w:pStyle w:val="ListParagraph"/>
        <w:numPr>
          <w:ilvl w:val="0"/>
          <w:numId w:val="5"/>
        </w:numPr>
      </w:pPr>
      <w:r>
        <w:t xml:space="preserve">Lai nodrošinātu finansējumu pedagogu zemākās darba algas likmes paaugstināšanai (piemēram: 2021. gada 1.septembrī no 790 </w:t>
      </w:r>
      <w:r w:rsidRPr="004F457A">
        <w:rPr>
          <w:i/>
        </w:rPr>
        <w:t xml:space="preserve">euro </w:t>
      </w:r>
      <w:r>
        <w:t xml:space="preserve">uz 830 </w:t>
      </w:r>
      <w:r w:rsidRPr="004F457A">
        <w:rPr>
          <w:i/>
        </w:rPr>
        <w:t>euro</w:t>
      </w:r>
      <w:r>
        <w:t xml:space="preserve">, t.i. par 5,1%), tad katrai pašvaldībai aprēķinātais finansējums tiek procentuāli palielināts (piemēram: minētajā gadījumā par 5,1%). </w:t>
      </w:r>
    </w:p>
    <w:p w:rsidR="00166AC7" w:rsidRDefault="00166AC7" w:rsidP="00166AC7">
      <w:pPr>
        <w:pStyle w:val="ListParagraph"/>
        <w:numPr>
          <w:ilvl w:val="0"/>
          <w:numId w:val="5"/>
        </w:numPr>
      </w:pPr>
      <w:r>
        <w:t xml:space="preserve">Ļauj izdarīt </w:t>
      </w:r>
      <w:r w:rsidR="007A78A9">
        <w:t>"</w:t>
      </w:r>
      <w:r>
        <w:t>netiešu spiedienu</w:t>
      </w:r>
      <w:r w:rsidR="007A78A9">
        <w:t>"</w:t>
      </w:r>
      <w:r>
        <w:t xml:space="preserve"> uz pašvaldību skolu tīklu, nosakot kvalitātes kritērijus, skolotāju un izglītojamo skaita attiecību un attāluma starp skolām kritēriju, mērķdotācijas sadalei pašvaldībā. </w:t>
      </w:r>
    </w:p>
    <w:p w:rsidR="00166AC7" w:rsidRDefault="00166AC7" w:rsidP="00166AC7">
      <w:pPr>
        <w:pStyle w:val="ListParagraph"/>
        <w:numPr>
          <w:ilvl w:val="0"/>
          <w:numId w:val="5"/>
        </w:numPr>
      </w:pPr>
      <w:r>
        <w:t>Turpmāk valsts finansējuma aprēķins katrai pašvaldībai vairs nav saistīts ar vairāku koeficientu sistēmu un zemākās algas likmes celšanu. Tas dod iespēju, veicot ikgadēju valsts finansējuma analīzi (skolu pedagoģisko darbinieku tarifikāciju sarakstos iekļauto datu analīzi), straujāk kāpināt pedagogu zemāko algas likmi, atbilstoši reālajam pedagogu darba algas likmes kāpumam.</w:t>
      </w:r>
    </w:p>
    <w:p w:rsidR="00166AC7" w:rsidRDefault="00166AC7" w:rsidP="00166AC7">
      <w:pPr>
        <w:pStyle w:val="ListParagraph"/>
        <w:numPr>
          <w:ilvl w:val="0"/>
          <w:numId w:val="5"/>
        </w:numPr>
      </w:pPr>
      <w:r>
        <w:t xml:space="preserve">Motivē pašvaldības kā izglītības iestāžu dibinātājas veidot optimālu skolu tīklu un skolotāju/izglītojamo proporciju, jo tas ļauj palielināt pašvaldības pedagogu atalgojumu, palielinot gan algas likmi, gan nodrošinot optimālu noslodzi, kā arī palielina pašvaldības atbildību par izglītības iestāžu sniegtās izglītības kvalitāti. </w:t>
      </w:r>
    </w:p>
    <w:p w:rsidR="00871E80" w:rsidRDefault="00871E80" w:rsidP="00871E80">
      <w:r w:rsidRPr="00212EF8">
        <w:rPr>
          <w:b/>
        </w:rPr>
        <w:t>Privātajām</w:t>
      </w:r>
      <w:r>
        <w:t xml:space="preserve"> izglītības iestādēm valsts finansējums pedagogu darba samaksai tiek aprēķināts līdzīgi</w:t>
      </w:r>
      <w:r w:rsidR="00212EF8">
        <w:t>, izmantojot 2021. gada janvārī – augustā vienam mēnesim aprēķināto finansējumu un aprēķinot vidējo valsts finansējumu</w:t>
      </w:r>
      <w:r w:rsidR="00212EF8" w:rsidRPr="00212EF8">
        <w:t xml:space="preserve"> pedagogu darba samaksai uz vienu 1.-6.klases, 7.-9.klas</w:t>
      </w:r>
      <w:r w:rsidR="00212EF8">
        <w:t>es un 10.-12.klases izglītojamo.</w:t>
      </w:r>
      <w:r w:rsidR="00212EF8" w:rsidRPr="00212EF8">
        <w:t xml:space="preserve"> </w:t>
      </w:r>
      <w:r w:rsidR="00212EF8">
        <w:t xml:space="preserve"> T</w:t>
      </w:r>
      <w:r w:rsidR="00212EF8" w:rsidRPr="00212EF8">
        <w:t>āpat kā esošajā normatīvajā regulējumā, valsts finansējumu saņem privātās izglītības iestādes dibinātājs.</w:t>
      </w:r>
    </w:p>
    <w:p w:rsidR="00A809E4" w:rsidRDefault="00A809E4" w:rsidP="00A809E4">
      <w:pPr>
        <w:spacing w:after="0"/>
      </w:pPr>
    </w:p>
    <w:p w:rsidR="00E24C13" w:rsidRPr="00F45541" w:rsidRDefault="00C30E54" w:rsidP="00F45541">
      <w:pPr>
        <w:pStyle w:val="Heading2"/>
        <w:rPr>
          <w:sz w:val="28"/>
        </w:rPr>
      </w:pPr>
      <w:bookmarkStart w:id="10" w:name="_Toc81299624"/>
      <w:r>
        <w:rPr>
          <w:sz w:val="28"/>
        </w:rPr>
        <w:t>2</w:t>
      </w:r>
      <w:r w:rsidR="00E24C13" w:rsidRPr="00F45541">
        <w:rPr>
          <w:sz w:val="28"/>
        </w:rPr>
        <w:t>.</w:t>
      </w:r>
      <w:r>
        <w:rPr>
          <w:sz w:val="28"/>
        </w:rPr>
        <w:t>4</w:t>
      </w:r>
      <w:r w:rsidR="00E24C13" w:rsidRPr="00F45541">
        <w:rPr>
          <w:sz w:val="28"/>
        </w:rPr>
        <w:t>. Papildu nepieciešamais valsts finansējums pamata un vidējās izglītības pedagogu darba samaksas pilnveidei</w:t>
      </w:r>
      <w:bookmarkEnd w:id="10"/>
    </w:p>
    <w:p w:rsidR="00B35A8C" w:rsidRPr="00EF19B8" w:rsidRDefault="00C138E5" w:rsidP="00B35A8C">
      <w:pPr>
        <w:spacing w:after="0"/>
        <w:ind w:firstLine="0"/>
        <w:rPr>
          <w:i/>
          <w:szCs w:val="24"/>
        </w:rPr>
      </w:pPr>
      <w:r w:rsidRPr="0052348F">
        <w:rPr>
          <w:i/>
          <w:szCs w:val="24"/>
        </w:rPr>
        <w:t>7.</w:t>
      </w:r>
      <w:r w:rsidR="00B35A8C" w:rsidRPr="0052348F">
        <w:rPr>
          <w:i/>
          <w:szCs w:val="24"/>
        </w:rPr>
        <w:t xml:space="preserve"> tabula.</w:t>
      </w:r>
      <w:r w:rsidR="00B35A8C">
        <w:rPr>
          <w:i/>
          <w:szCs w:val="24"/>
        </w:rPr>
        <w:t xml:space="preserve"> </w:t>
      </w:r>
      <w:r w:rsidR="00B35A8C" w:rsidRPr="00EF19B8">
        <w:rPr>
          <w:i/>
          <w:szCs w:val="24"/>
        </w:rPr>
        <w:t xml:space="preserve">Papildu nepieciešamais valsts finansējums </w:t>
      </w:r>
      <w:r w:rsidR="00B35A8C" w:rsidRPr="0055361D">
        <w:rPr>
          <w:b/>
          <w:i/>
          <w:szCs w:val="24"/>
        </w:rPr>
        <w:t>vispārizglītojošām skolām</w:t>
      </w:r>
      <w:r w:rsidRPr="0055361D">
        <w:rPr>
          <w:b/>
          <w:i/>
          <w:szCs w:val="24"/>
        </w:rPr>
        <w:t xml:space="preserve"> (izņemot speciālās skolas)</w:t>
      </w:r>
      <w:r w:rsidR="007179F6">
        <w:rPr>
          <w:b/>
          <w:i/>
          <w:szCs w:val="24"/>
        </w:rPr>
        <w:t>,</w:t>
      </w:r>
      <w:r w:rsidR="00B35A8C" w:rsidRPr="0055361D">
        <w:rPr>
          <w:b/>
          <w:i/>
          <w:szCs w:val="24"/>
        </w:rPr>
        <w:t xml:space="preserve"> </w:t>
      </w:r>
      <w:r w:rsidR="007179F6" w:rsidRPr="007179F6">
        <w:rPr>
          <w:b/>
          <w:i/>
          <w:szCs w:val="24"/>
        </w:rPr>
        <w:t xml:space="preserve">kā arī privātajām skolām </w:t>
      </w:r>
      <w:r w:rsidR="00B35A8C" w:rsidRPr="0055361D">
        <w:rPr>
          <w:b/>
          <w:i/>
          <w:szCs w:val="24"/>
        </w:rPr>
        <w:t>pedagogu darba samaksas pilnveidei</w:t>
      </w:r>
      <w:r w:rsidR="00B35A8C">
        <w:rPr>
          <w:i/>
          <w:szCs w:val="24"/>
        </w:rPr>
        <w:t>, euro</w:t>
      </w:r>
    </w:p>
    <w:tbl>
      <w:tblPr>
        <w:tblStyle w:val="TableGrid"/>
        <w:tblW w:w="93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1376"/>
        <w:gridCol w:w="1652"/>
        <w:gridCol w:w="1514"/>
      </w:tblGrid>
      <w:tr w:rsidR="000D69CD" w:rsidTr="00C428F2">
        <w:trPr>
          <w:trHeight w:val="278"/>
          <w:tblHeader/>
        </w:trPr>
        <w:tc>
          <w:tcPr>
            <w:tcW w:w="4815" w:type="dxa"/>
            <w:tcBorders>
              <w:bottom w:val="dotted" w:sz="4" w:space="0" w:color="auto"/>
            </w:tcBorders>
          </w:tcPr>
          <w:p w:rsidR="000D69CD" w:rsidRPr="00EE731B" w:rsidRDefault="000D69CD" w:rsidP="00D53F0A">
            <w:pPr>
              <w:ind w:firstLine="0"/>
              <w:rPr>
                <w:rFonts w:cs="Times New Roman"/>
                <w:sz w:val="22"/>
              </w:rPr>
            </w:pPr>
          </w:p>
        </w:tc>
        <w:tc>
          <w:tcPr>
            <w:tcW w:w="1376" w:type="dxa"/>
            <w:tcBorders>
              <w:bottom w:val="dotted" w:sz="4" w:space="0" w:color="auto"/>
            </w:tcBorders>
            <w:vAlign w:val="center"/>
          </w:tcPr>
          <w:p w:rsidR="000D69CD" w:rsidRPr="00EE731B" w:rsidRDefault="000D69CD" w:rsidP="00D53F0A">
            <w:pPr>
              <w:ind w:firstLine="0"/>
              <w:jc w:val="center"/>
              <w:rPr>
                <w:rFonts w:cs="Times New Roman"/>
                <w:sz w:val="22"/>
              </w:rPr>
            </w:pPr>
            <w:r w:rsidRPr="00EE731B">
              <w:rPr>
                <w:rFonts w:eastAsia="Times New Roman" w:cs="Times New Roman"/>
                <w:color w:val="000000"/>
                <w:sz w:val="22"/>
              </w:rPr>
              <w:t>2022</w:t>
            </w:r>
          </w:p>
        </w:tc>
        <w:tc>
          <w:tcPr>
            <w:tcW w:w="1652" w:type="dxa"/>
            <w:tcBorders>
              <w:bottom w:val="dotted" w:sz="4" w:space="0" w:color="auto"/>
            </w:tcBorders>
            <w:vAlign w:val="center"/>
          </w:tcPr>
          <w:p w:rsidR="000D69CD" w:rsidRPr="00EE731B" w:rsidRDefault="000D69CD" w:rsidP="00D53F0A">
            <w:pPr>
              <w:ind w:firstLine="0"/>
              <w:jc w:val="center"/>
              <w:rPr>
                <w:rFonts w:cs="Times New Roman"/>
                <w:sz w:val="22"/>
              </w:rPr>
            </w:pPr>
            <w:r w:rsidRPr="00EE731B">
              <w:rPr>
                <w:rFonts w:eastAsia="Times New Roman" w:cs="Times New Roman"/>
                <w:color w:val="000000"/>
                <w:sz w:val="22"/>
              </w:rPr>
              <w:t>2023</w:t>
            </w:r>
          </w:p>
        </w:tc>
        <w:tc>
          <w:tcPr>
            <w:tcW w:w="1514" w:type="dxa"/>
            <w:tcBorders>
              <w:bottom w:val="dotted" w:sz="4" w:space="0" w:color="auto"/>
            </w:tcBorders>
            <w:vAlign w:val="center"/>
          </w:tcPr>
          <w:p w:rsidR="000D69CD" w:rsidRPr="00EE731B" w:rsidRDefault="000D69CD" w:rsidP="00D53F0A">
            <w:pPr>
              <w:ind w:firstLine="0"/>
              <w:jc w:val="center"/>
              <w:rPr>
                <w:rFonts w:cs="Times New Roman"/>
                <w:sz w:val="22"/>
              </w:rPr>
            </w:pPr>
            <w:r w:rsidRPr="00EE731B">
              <w:rPr>
                <w:rFonts w:eastAsia="Times New Roman" w:cs="Times New Roman"/>
                <w:color w:val="000000"/>
                <w:sz w:val="22"/>
              </w:rPr>
              <w:t>2024</w:t>
            </w:r>
          </w:p>
        </w:tc>
      </w:tr>
      <w:tr w:rsidR="000D69CD" w:rsidTr="00863D53">
        <w:trPr>
          <w:trHeight w:val="278"/>
        </w:trPr>
        <w:tc>
          <w:tcPr>
            <w:tcW w:w="4815" w:type="dxa"/>
            <w:tcBorders>
              <w:right w:val="nil"/>
            </w:tcBorders>
            <w:shd w:val="clear" w:color="auto" w:fill="D3CEDC"/>
          </w:tcPr>
          <w:p w:rsidR="000D69CD" w:rsidRPr="00EE731B" w:rsidRDefault="000D69CD" w:rsidP="007A78A9">
            <w:pPr>
              <w:ind w:firstLine="0"/>
              <w:rPr>
                <w:rFonts w:cs="Times New Roman"/>
                <w:sz w:val="22"/>
              </w:rPr>
            </w:pPr>
            <w:r w:rsidRPr="00EE731B">
              <w:rPr>
                <w:rFonts w:cs="Times New Roman"/>
                <w:sz w:val="22"/>
              </w:rPr>
              <w:t xml:space="preserve">Modelis Nr.1 – </w:t>
            </w:r>
            <w:r w:rsidR="007A78A9" w:rsidRPr="00EE731B">
              <w:rPr>
                <w:rFonts w:cs="Times New Roman"/>
                <w:sz w:val="22"/>
              </w:rPr>
              <w:t xml:space="preserve"> "</w:t>
            </w:r>
            <w:r w:rsidR="00C138E5" w:rsidRPr="00EE731B">
              <w:rPr>
                <w:rFonts w:cs="Times New Roman"/>
                <w:sz w:val="22"/>
              </w:rPr>
              <w:t>Klase skolā</w:t>
            </w:r>
            <w:r w:rsidR="007A78A9" w:rsidRPr="00EE731B">
              <w:rPr>
                <w:rFonts w:cs="Times New Roman"/>
                <w:sz w:val="22"/>
              </w:rPr>
              <w:t>"</w:t>
            </w:r>
          </w:p>
        </w:tc>
        <w:tc>
          <w:tcPr>
            <w:tcW w:w="1376" w:type="dxa"/>
            <w:tcBorders>
              <w:left w:val="nil"/>
              <w:right w:val="nil"/>
            </w:tcBorders>
            <w:shd w:val="clear" w:color="auto" w:fill="D3CEDC"/>
            <w:vAlign w:val="center"/>
          </w:tcPr>
          <w:p w:rsidR="000D69CD" w:rsidRPr="00EE731B" w:rsidRDefault="000D69CD" w:rsidP="00D53F0A">
            <w:pPr>
              <w:ind w:firstLine="0"/>
              <w:jc w:val="center"/>
              <w:rPr>
                <w:rFonts w:eastAsia="Times New Roman" w:cs="Times New Roman"/>
                <w:color w:val="000000"/>
                <w:sz w:val="22"/>
              </w:rPr>
            </w:pPr>
          </w:p>
        </w:tc>
        <w:tc>
          <w:tcPr>
            <w:tcW w:w="1652" w:type="dxa"/>
            <w:tcBorders>
              <w:left w:val="nil"/>
              <w:right w:val="nil"/>
            </w:tcBorders>
            <w:shd w:val="clear" w:color="auto" w:fill="D3CEDC"/>
            <w:vAlign w:val="center"/>
          </w:tcPr>
          <w:p w:rsidR="000D69CD" w:rsidRPr="00EE731B" w:rsidRDefault="000D69CD" w:rsidP="00D53F0A">
            <w:pPr>
              <w:ind w:firstLine="0"/>
              <w:jc w:val="center"/>
              <w:rPr>
                <w:rFonts w:eastAsia="Times New Roman" w:cs="Times New Roman"/>
                <w:color w:val="000000"/>
                <w:sz w:val="22"/>
              </w:rPr>
            </w:pPr>
          </w:p>
        </w:tc>
        <w:tc>
          <w:tcPr>
            <w:tcW w:w="1514" w:type="dxa"/>
            <w:tcBorders>
              <w:left w:val="nil"/>
            </w:tcBorders>
            <w:shd w:val="clear" w:color="auto" w:fill="D3CEDC"/>
            <w:vAlign w:val="center"/>
          </w:tcPr>
          <w:p w:rsidR="000D69CD" w:rsidRPr="00EE731B" w:rsidRDefault="000D69CD" w:rsidP="00D53F0A">
            <w:pPr>
              <w:ind w:firstLine="0"/>
              <w:jc w:val="center"/>
              <w:rPr>
                <w:rFonts w:eastAsia="Times New Roman" w:cs="Times New Roman"/>
                <w:color w:val="000000"/>
                <w:sz w:val="22"/>
              </w:rPr>
            </w:pPr>
          </w:p>
        </w:tc>
      </w:tr>
      <w:tr w:rsidR="00EC4361" w:rsidTr="00863D53">
        <w:trPr>
          <w:trHeight w:val="253"/>
        </w:trPr>
        <w:tc>
          <w:tcPr>
            <w:tcW w:w="4815" w:type="dxa"/>
            <w:vAlign w:val="center"/>
          </w:tcPr>
          <w:p w:rsidR="00EC4361" w:rsidRPr="00EE731B" w:rsidRDefault="00EC4361" w:rsidP="00EC4361">
            <w:pPr>
              <w:ind w:firstLine="0"/>
              <w:rPr>
                <w:rFonts w:cs="Times New Roman"/>
                <w:i/>
                <w:sz w:val="22"/>
              </w:rPr>
            </w:pPr>
            <w:r w:rsidRPr="00EE731B">
              <w:rPr>
                <w:rFonts w:cs="Times New Roman"/>
                <w:color w:val="000000"/>
                <w:sz w:val="22"/>
              </w:rPr>
              <w:t>– algas</w:t>
            </w:r>
            <w:r w:rsidR="00166AC7" w:rsidRPr="00EE731B">
              <w:rPr>
                <w:rFonts w:cs="Times New Roman"/>
                <w:color w:val="000000"/>
                <w:sz w:val="22"/>
              </w:rPr>
              <w:t xml:space="preserve"> likmes</w:t>
            </w:r>
            <w:r w:rsidRPr="00EE731B">
              <w:rPr>
                <w:rFonts w:cs="Times New Roman"/>
                <w:color w:val="000000"/>
                <w:sz w:val="22"/>
              </w:rPr>
              <w:t xml:space="preserve"> palielinājums līdz 900 </w:t>
            </w:r>
            <w:r w:rsidRPr="00EE731B">
              <w:rPr>
                <w:rFonts w:cs="Times New Roman"/>
                <w:i/>
                <w:iCs/>
                <w:color w:val="000000"/>
                <w:sz w:val="22"/>
              </w:rPr>
              <w:t>euro</w:t>
            </w:r>
          </w:p>
        </w:tc>
        <w:tc>
          <w:tcPr>
            <w:tcW w:w="1376" w:type="dxa"/>
            <w:vAlign w:val="center"/>
          </w:tcPr>
          <w:p w:rsidR="00EC4361" w:rsidRPr="00EE731B" w:rsidRDefault="00EC4361" w:rsidP="00EC4361">
            <w:pPr>
              <w:ind w:firstLine="0"/>
              <w:jc w:val="center"/>
              <w:rPr>
                <w:rFonts w:cs="Times New Roman"/>
                <w:sz w:val="22"/>
              </w:rPr>
            </w:pPr>
            <w:r w:rsidRPr="00EE731B">
              <w:rPr>
                <w:rFonts w:cs="Times New Roman"/>
                <w:color w:val="000000"/>
                <w:sz w:val="22"/>
              </w:rPr>
              <w:t>9 326 897</w:t>
            </w:r>
          </w:p>
        </w:tc>
        <w:tc>
          <w:tcPr>
            <w:tcW w:w="1652" w:type="dxa"/>
            <w:vAlign w:val="center"/>
          </w:tcPr>
          <w:p w:rsidR="00EC4361" w:rsidRPr="00EE731B" w:rsidRDefault="00EC4361" w:rsidP="00EC4361">
            <w:pPr>
              <w:ind w:firstLine="0"/>
              <w:jc w:val="center"/>
              <w:rPr>
                <w:rFonts w:cs="Times New Roman"/>
                <w:sz w:val="22"/>
              </w:rPr>
            </w:pPr>
            <w:r w:rsidRPr="00EE731B">
              <w:rPr>
                <w:rFonts w:cs="Times New Roman"/>
                <w:color w:val="000000"/>
                <w:sz w:val="22"/>
              </w:rPr>
              <w:t>27 980 691</w:t>
            </w:r>
          </w:p>
        </w:tc>
        <w:tc>
          <w:tcPr>
            <w:tcW w:w="1514" w:type="dxa"/>
            <w:vAlign w:val="center"/>
          </w:tcPr>
          <w:p w:rsidR="00EC4361" w:rsidRPr="00EE731B" w:rsidRDefault="00EC4361" w:rsidP="00EC4361">
            <w:pPr>
              <w:ind w:firstLine="0"/>
              <w:jc w:val="center"/>
              <w:rPr>
                <w:rFonts w:cs="Times New Roman"/>
                <w:sz w:val="22"/>
              </w:rPr>
            </w:pPr>
            <w:r w:rsidRPr="00EE731B">
              <w:rPr>
                <w:rFonts w:cs="Times New Roman"/>
                <w:color w:val="000000"/>
                <w:sz w:val="22"/>
              </w:rPr>
              <w:t>27 980 691</w:t>
            </w:r>
          </w:p>
        </w:tc>
      </w:tr>
      <w:tr w:rsidR="00EC4361" w:rsidTr="00863D53">
        <w:trPr>
          <w:trHeight w:val="241"/>
        </w:trPr>
        <w:tc>
          <w:tcPr>
            <w:tcW w:w="4815" w:type="dxa"/>
            <w:tcBorders>
              <w:bottom w:val="dotted" w:sz="4" w:space="0" w:color="auto"/>
            </w:tcBorders>
            <w:vAlign w:val="center"/>
          </w:tcPr>
          <w:p w:rsidR="00EC4361" w:rsidRPr="00EE731B" w:rsidRDefault="00EC4361" w:rsidP="00EC4361">
            <w:pPr>
              <w:ind w:firstLine="0"/>
              <w:rPr>
                <w:rFonts w:cs="Times New Roman"/>
                <w:sz w:val="22"/>
              </w:rPr>
            </w:pPr>
            <w:r w:rsidRPr="00EE731B">
              <w:rPr>
                <w:rFonts w:cs="Times New Roman"/>
                <w:color w:val="000000"/>
                <w:sz w:val="22"/>
              </w:rPr>
              <w:t>– aprēķina maiņai</w:t>
            </w:r>
          </w:p>
        </w:tc>
        <w:tc>
          <w:tcPr>
            <w:tcW w:w="1376" w:type="dxa"/>
            <w:tcBorders>
              <w:bottom w:val="dotted" w:sz="4" w:space="0" w:color="auto"/>
            </w:tcBorders>
            <w:vAlign w:val="center"/>
          </w:tcPr>
          <w:p w:rsidR="00EC4361" w:rsidRPr="00EE731B" w:rsidRDefault="00EC4361" w:rsidP="00EC4361">
            <w:pPr>
              <w:ind w:firstLine="0"/>
              <w:jc w:val="center"/>
              <w:rPr>
                <w:rFonts w:cs="Times New Roman"/>
                <w:sz w:val="22"/>
              </w:rPr>
            </w:pPr>
            <w:r w:rsidRPr="00EE731B">
              <w:rPr>
                <w:rFonts w:cs="Times New Roman"/>
                <w:color w:val="000000"/>
                <w:sz w:val="22"/>
              </w:rPr>
              <w:t>16 618 168</w:t>
            </w:r>
          </w:p>
        </w:tc>
        <w:tc>
          <w:tcPr>
            <w:tcW w:w="1652" w:type="dxa"/>
            <w:tcBorders>
              <w:bottom w:val="dotted" w:sz="4" w:space="0" w:color="auto"/>
            </w:tcBorders>
            <w:vAlign w:val="center"/>
          </w:tcPr>
          <w:p w:rsidR="00EC4361" w:rsidRPr="00EE731B" w:rsidRDefault="00EC4361" w:rsidP="00EC4361">
            <w:pPr>
              <w:ind w:firstLine="0"/>
              <w:jc w:val="center"/>
              <w:rPr>
                <w:rFonts w:cs="Times New Roman"/>
                <w:sz w:val="22"/>
              </w:rPr>
            </w:pPr>
            <w:r w:rsidRPr="00EE731B">
              <w:rPr>
                <w:rFonts w:cs="Times New Roman"/>
                <w:color w:val="000000"/>
                <w:sz w:val="22"/>
              </w:rPr>
              <w:t>53 266 781</w:t>
            </w:r>
          </w:p>
        </w:tc>
        <w:tc>
          <w:tcPr>
            <w:tcW w:w="1514" w:type="dxa"/>
            <w:tcBorders>
              <w:bottom w:val="dotted" w:sz="4" w:space="0" w:color="auto"/>
            </w:tcBorders>
            <w:vAlign w:val="center"/>
          </w:tcPr>
          <w:p w:rsidR="00EC4361" w:rsidRPr="00EE731B" w:rsidRDefault="00EC4361" w:rsidP="00EC4361">
            <w:pPr>
              <w:ind w:firstLine="0"/>
              <w:jc w:val="center"/>
              <w:rPr>
                <w:rFonts w:cs="Times New Roman"/>
                <w:sz w:val="22"/>
              </w:rPr>
            </w:pPr>
            <w:r w:rsidRPr="00EE731B">
              <w:rPr>
                <w:rFonts w:cs="Times New Roman"/>
                <w:color w:val="000000"/>
                <w:sz w:val="22"/>
              </w:rPr>
              <w:t>64 028 576</w:t>
            </w:r>
          </w:p>
        </w:tc>
      </w:tr>
      <w:tr w:rsidR="00EC4361" w:rsidTr="00863D53">
        <w:trPr>
          <w:trHeight w:val="253"/>
        </w:trPr>
        <w:tc>
          <w:tcPr>
            <w:tcW w:w="4815" w:type="dxa"/>
            <w:tcBorders>
              <w:bottom w:val="dotted" w:sz="4" w:space="0" w:color="auto"/>
            </w:tcBorders>
            <w:vAlign w:val="center"/>
          </w:tcPr>
          <w:p w:rsidR="00EC4361" w:rsidRPr="00EE731B" w:rsidRDefault="00EC4361" w:rsidP="00EC4361">
            <w:pPr>
              <w:ind w:firstLine="0"/>
              <w:rPr>
                <w:rFonts w:eastAsia="Times New Roman" w:cs="Times New Roman"/>
                <w:color w:val="000000"/>
                <w:sz w:val="22"/>
              </w:rPr>
            </w:pPr>
            <w:r w:rsidRPr="00EE731B">
              <w:rPr>
                <w:rFonts w:cs="Times New Roman"/>
                <w:b/>
                <w:bCs/>
                <w:color w:val="000000"/>
                <w:sz w:val="22"/>
              </w:rPr>
              <w:t>Kopā papildu nepieciešams </w:t>
            </w:r>
          </w:p>
        </w:tc>
        <w:tc>
          <w:tcPr>
            <w:tcW w:w="1376" w:type="dxa"/>
            <w:tcBorders>
              <w:bottom w:val="dotted" w:sz="4" w:space="0" w:color="auto"/>
            </w:tcBorders>
            <w:vAlign w:val="center"/>
          </w:tcPr>
          <w:p w:rsidR="00EC4361" w:rsidRPr="00EE731B" w:rsidRDefault="00EC4361" w:rsidP="00EC4361">
            <w:pPr>
              <w:ind w:firstLine="0"/>
              <w:jc w:val="center"/>
              <w:rPr>
                <w:rFonts w:cs="Times New Roman"/>
                <w:sz w:val="22"/>
              </w:rPr>
            </w:pPr>
            <w:r w:rsidRPr="00EE731B">
              <w:rPr>
                <w:rFonts w:cs="Times New Roman"/>
                <w:b/>
                <w:bCs/>
                <w:color w:val="000000"/>
                <w:sz w:val="22"/>
              </w:rPr>
              <w:t>25 945 065</w:t>
            </w:r>
          </w:p>
        </w:tc>
        <w:tc>
          <w:tcPr>
            <w:tcW w:w="1652" w:type="dxa"/>
            <w:tcBorders>
              <w:bottom w:val="dotted" w:sz="4" w:space="0" w:color="auto"/>
            </w:tcBorders>
            <w:vAlign w:val="center"/>
          </w:tcPr>
          <w:p w:rsidR="00EC4361" w:rsidRPr="00EE731B" w:rsidRDefault="00EC4361" w:rsidP="00EC4361">
            <w:pPr>
              <w:ind w:firstLine="0"/>
              <w:jc w:val="center"/>
              <w:rPr>
                <w:rFonts w:cs="Times New Roman"/>
                <w:sz w:val="22"/>
              </w:rPr>
            </w:pPr>
            <w:r w:rsidRPr="00EE731B">
              <w:rPr>
                <w:rFonts w:cs="Times New Roman"/>
                <w:b/>
                <w:bCs/>
                <w:color w:val="000000"/>
                <w:sz w:val="22"/>
              </w:rPr>
              <w:t>81 247 472</w:t>
            </w:r>
          </w:p>
        </w:tc>
        <w:tc>
          <w:tcPr>
            <w:tcW w:w="1514" w:type="dxa"/>
            <w:tcBorders>
              <w:bottom w:val="dotted" w:sz="4" w:space="0" w:color="auto"/>
            </w:tcBorders>
            <w:vAlign w:val="center"/>
          </w:tcPr>
          <w:p w:rsidR="00EC4361" w:rsidRPr="00EE731B" w:rsidRDefault="00EC4361" w:rsidP="00EC4361">
            <w:pPr>
              <w:ind w:firstLine="0"/>
              <w:jc w:val="center"/>
              <w:rPr>
                <w:rFonts w:cs="Times New Roman"/>
                <w:sz w:val="22"/>
              </w:rPr>
            </w:pPr>
            <w:r w:rsidRPr="00EE731B">
              <w:rPr>
                <w:rFonts w:cs="Times New Roman"/>
                <w:b/>
                <w:bCs/>
                <w:color w:val="000000"/>
                <w:sz w:val="22"/>
              </w:rPr>
              <w:t>92 009 267</w:t>
            </w:r>
          </w:p>
        </w:tc>
      </w:tr>
      <w:tr w:rsidR="000D69CD" w:rsidTr="00863D53">
        <w:trPr>
          <w:trHeight w:val="278"/>
        </w:trPr>
        <w:tc>
          <w:tcPr>
            <w:tcW w:w="4815" w:type="dxa"/>
            <w:tcBorders>
              <w:right w:val="nil"/>
            </w:tcBorders>
            <w:shd w:val="clear" w:color="auto" w:fill="D3CEDC"/>
            <w:vAlign w:val="bottom"/>
          </w:tcPr>
          <w:p w:rsidR="000D69CD" w:rsidRPr="00EE731B" w:rsidRDefault="00B2533B" w:rsidP="007A78A9">
            <w:pPr>
              <w:ind w:firstLine="0"/>
              <w:rPr>
                <w:rFonts w:eastAsia="Times New Roman" w:cs="Times New Roman"/>
                <w:color w:val="000000"/>
                <w:sz w:val="22"/>
              </w:rPr>
            </w:pPr>
            <w:r w:rsidRPr="00EE731B">
              <w:rPr>
                <w:rFonts w:eastAsia="Times New Roman" w:cs="Times New Roman"/>
                <w:color w:val="000000"/>
                <w:sz w:val="22"/>
              </w:rPr>
              <w:t>Modelis</w:t>
            </w:r>
            <w:r w:rsidR="00821A07" w:rsidRPr="00EE731B">
              <w:rPr>
                <w:rFonts w:eastAsia="Times New Roman" w:cs="Times New Roman"/>
                <w:color w:val="000000"/>
                <w:sz w:val="22"/>
              </w:rPr>
              <w:t xml:space="preserve"> N</w:t>
            </w:r>
            <w:r w:rsidR="000D69CD" w:rsidRPr="00EE731B">
              <w:rPr>
                <w:rFonts w:eastAsia="Times New Roman" w:cs="Times New Roman"/>
                <w:color w:val="000000"/>
                <w:sz w:val="22"/>
              </w:rPr>
              <w:t xml:space="preserve">r.2 – </w:t>
            </w:r>
            <w:r w:rsidR="007A78A9" w:rsidRPr="00EE731B">
              <w:rPr>
                <w:rFonts w:eastAsia="Times New Roman" w:cs="Times New Roman"/>
                <w:color w:val="000000"/>
                <w:sz w:val="22"/>
              </w:rPr>
              <w:t>"</w:t>
            </w:r>
            <w:r w:rsidR="00C138E5" w:rsidRPr="00EE731B">
              <w:rPr>
                <w:rFonts w:eastAsia="Times New Roman" w:cs="Times New Roman"/>
                <w:color w:val="000000"/>
                <w:sz w:val="22"/>
              </w:rPr>
              <w:t xml:space="preserve">Klase </w:t>
            </w:r>
            <w:r w:rsidRPr="00EE731B">
              <w:rPr>
                <w:rFonts w:eastAsia="Times New Roman" w:cs="Times New Roman"/>
                <w:color w:val="000000"/>
                <w:sz w:val="22"/>
              </w:rPr>
              <w:t>pašvaldībā</w:t>
            </w:r>
            <w:r w:rsidR="007A78A9" w:rsidRPr="00EE731B">
              <w:rPr>
                <w:rFonts w:eastAsia="Times New Roman" w:cs="Times New Roman"/>
                <w:color w:val="000000"/>
                <w:sz w:val="22"/>
              </w:rPr>
              <w:t>"</w:t>
            </w:r>
          </w:p>
        </w:tc>
        <w:tc>
          <w:tcPr>
            <w:tcW w:w="1376" w:type="dxa"/>
            <w:tcBorders>
              <w:left w:val="nil"/>
              <w:right w:val="nil"/>
            </w:tcBorders>
            <w:shd w:val="clear" w:color="auto" w:fill="D3CEDC"/>
          </w:tcPr>
          <w:p w:rsidR="000D69CD" w:rsidRPr="00EE731B" w:rsidRDefault="000D69CD" w:rsidP="00D53F0A">
            <w:pPr>
              <w:ind w:firstLine="0"/>
              <w:jc w:val="center"/>
              <w:rPr>
                <w:rFonts w:cs="Times New Roman"/>
                <w:sz w:val="22"/>
              </w:rPr>
            </w:pPr>
          </w:p>
        </w:tc>
        <w:tc>
          <w:tcPr>
            <w:tcW w:w="1652" w:type="dxa"/>
            <w:tcBorders>
              <w:left w:val="nil"/>
              <w:right w:val="nil"/>
            </w:tcBorders>
            <w:shd w:val="clear" w:color="auto" w:fill="D3CEDC"/>
          </w:tcPr>
          <w:p w:rsidR="000D69CD" w:rsidRPr="00EE731B" w:rsidRDefault="000D69CD" w:rsidP="00D53F0A">
            <w:pPr>
              <w:ind w:firstLine="0"/>
              <w:jc w:val="center"/>
              <w:rPr>
                <w:rFonts w:cs="Times New Roman"/>
                <w:sz w:val="22"/>
              </w:rPr>
            </w:pPr>
          </w:p>
        </w:tc>
        <w:tc>
          <w:tcPr>
            <w:tcW w:w="1514" w:type="dxa"/>
            <w:tcBorders>
              <w:left w:val="nil"/>
            </w:tcBorders>
            <w:shd w:val="clear" w:color="auto" w:fill="D3CEDC"/>
          </w:tcPr>
          <w:p w:rsidR="000D69CD" w:rsidRPr="00EE731B" w:rsidRDefault="000D69CD" w:rsidP="00D53F0A">
            <w:pPr>
              <w:ind w:firstLine="0"/>
              <w:jc w:val="center"/>
              <w:rPr>
                <w:rFonts w:cs="Times New Roman"/>
                <w:sz w:val="22"/>
              </w:rPr>
            </w:pPr>
          </w:p>
        </w:tc>
      </w:tr>
      <w:tr w:rsidR="00EC4361" w:rsidTr="00863D53">
        <w:trPr>
          <w:trHeight w:val="253"/>
        </w:trPr>
        <w:tc>
          <w:tcPr>
            <w:tcW w:w="4815" w:type="dxa"/>
            <w:vAlign w:val="center"/>
          </w:tcPr>
          <w:p w:rsidR="00EC4361" w:rsidRPr="00EE731B" w:rsidRDefault="00EC4361" w:rsidP="00EC4361">
            <w:pPr>
              <w:ind w:firstLine="0"/>
              <w:rPr>
                <w:rFonts w:eastAsia="Times New Roman" w:cs="Times New Roman"/>
                <w:color w:val="000000"/>
                <w:sz w:val="22"/>
              </w:rPr>
            </w:pPr>
            <w:r w:rsidRPr="00EE731B">
              <w:rPr>
                <w:rFonts w:cs="Times New Roman"/>
                <w:color w:val="000000"/>
                <w:sz w:val="22"/>
              </w:rPr>
              <w:t xml:space="preserve">– algas </w:t>
            </w:r>
            <w:r w:rsidR="00166AC7" w:rsidRPr="00EE731B">
              <w:rPr>
                <w:rFonts w:cs="Times New Roman"/>
                <w:color w:val="000000"/>
                <w:sz w:val="22"/>
              </w:rPr>
              <w:t xml:space="preserve">likmes </w:t>
            </w:r>
            <w:r w:rsidRPr="00EE731B">
              <w:rPr>
                <w:rFonts w:cs="Times New Roman"/>
                <w:color w:val="000000"/>
                <w:sz w:val="22"/>
              </w:rPr>
              <w:t xml:space="preserve">palielinājums līdz 900 </w:t>
            </w:r>
            <w:r w:rsidRPr="00EE731B">
              <w:rPr>
                <w:rFonts w:cs="Times New Roman"/>
                <w:i/>
                <w:iCs/>
                <w:color w:val="000000"/>
                <w:sz w:val="22"/>
              </w:rPr>
              <w:t>euro</w:t>
            </w:r>
          </w:p>
        </w:tc>
        <w:tc>
          <w:tcPr>
            <w:tcW w:w="1376" w:type="dxa"/>
            <w:vAlign w:val="center"/>
          </w:tcPr>
          <w:p w:rsidR="00EC4361" w:rsidRPr="00EE731B" w:rsidRDefault="00EC4361" w:rsidP="00EC4361">
            <w:pPr>
              <w:ind w:firstLine="0"/>
              <w:jc w:val="center"/>
              <w:rPr>
                <w:rFonts w:cs="Times New Roman"/>
                <w:sz w:val="22"/>
              </w:rPr>
            </w:pPr>
            <w:r w:rsidRPr="00EE731B">
              <w:rPr>
                <w:rFonts w:cs="Times New Roman"/>
                <w:color w:val="000000"/>
                <w:sz w:val="22"/>
              </w:rPr>
              <w:t>9 326 897</w:t>
            </w:r>
          </w:p>
        </w:tc>
        <w:tc>
          <w:tcPr>
            <w:tcW w:w="1652" w:type="dxa"/>
            <w:vAlign w:val="center"/>
          </w:tcPr>
          <w:p w:rsidR="00EC4361" w:rsidRPr="00EE731B" w:rsidRDefault="00EC4361" w:rsidP="00EC4361">
            <w:pPr>
              <w:ind w:firstLine="0"/>
              <w:jc w:val="center"/>
              <w:rPr>
                <w:rFonts w:cs="Times New Roman"/>
                <w:sz w:val="22"/>
              </w:rPr>
            </w:pPr>
            <w:r w:rsidRPr="00EE731B">
              <w:rPr>
                <w:rFonts w:cs="Times New Roman"/>
                <w:color w:val="000000"/>
                <w:sz w:val="22"/>
              </w:rPr>
              <w:t>27 980 691</w:t>
            </w:r>
          </w:p>
        </w:tc>
        <w:tc>
          <w:tcPr>
            <w:tcW w:w="1514" w:type="dxa"/>
            <w:vAlign w:val="center"/>
          </w:tcPr>
          <w:p w:rsidR="00EC4361" w:rsidRPr="00EE731B" w:rsidRDefault="00EC4361" w:rsidP="00EC4361">
            <w:pPr>
              <w:ind w:firstLine="0"/>
              <w:jc w:val="center"/>
              <w:rPr>
                <w:rFonts w:cs="Times New Roman"/>
                <w:sz w:val="22"/>
              </w:rPr>
            </w:pPr>
            <w:r w:rsidRPr="00EE731B">
              <w:rPr>
                <w:rFonts w:cs="Times New Roman"/>
                <w:color w:val="000000"/>
                <w:sz w:val="22"/>
              </w:rPr>
              <w:t>27 980 691</w:t>
            </w:r>
          </w:p>
        </w:tc>
      </w:tr>
      <w:tr w:rsidR="00EC4361" w:rsidTr="00863D53">
        <w:trPr>
          <w:trHeight w:val="253"/>
        </w:trPr>
        <w:tc>
          <w:tcPr>
            <w:tcW w:w="4815" w:type="dxa"/>
            <w:tcBorders>
              <w:bottom w:val="nil"/>
            </w:tcBorders>
            <w:vAlign w:val="center"/>
          </w:tcPr>
          <w:p w:rsidR="00EC4361" w:rsidRPr="00EE731B" w:rsidRDefault="00EC4361" w:rsidP="00EC4361">
            <w:pPr>
              <w:ind w:firstLine="0"/>
              <w:rPr>
                <w:rFonts w:eastAsia="Times New Roman" w:cs="Times New Roman"/>
                <w:color w:val="000000"/>
                <w:sz w:val="22"/>
              </w:rPr>
            </w:pPr>
            <w:r w:rsidRPr="00EE731B">
              <w:rPr>
                <w:rFonts w:cs="Times New Roman"/>
                <w:color w:val="000000"/>
                <w:sz w:val="22"/>
              </w:rPr>
              <w:t>– aprēķina maiņai</w:t>
            </w:r>
          </w:p>
        </w:tc>
        <w:tc>
          <w:tcPr>
            <w:tcW w:w="1376" w:type="dxa"/>
            <w:tcBorders>
              <w:bottom w:val="nil"/>
            </w:tcBorders>
            <w:vAlign w:val="center"/>
          </w:tcPr>
          <w:p w:rsidR="00EC4361" w:rsidRPr="00EE731B" w:rsidRDefault="00EC4361" w:rsidP="00EC4361">
            <w:pPr>
              <w:ind w:firstLine="0"/>
              <w:jc w:val="center"/>
              <w:rPr>
                <w:rFonts w:cs="Times New Roman"/>
                <w:sz w:val="22"/>
              </w:rPr>
            </w:pPr>
            <w:r w:rsidRPr="00EE731B">
              <w:rPr>
                <w:rFonts w:cs="Times New Roman"/>
                <w:color w:val="000000"/>
                <w:sz w:val="22"/>
              </w:rPr>
              <w:t>8 175 180</w:t>
            </w:r>
          </w:p>
        </w:tc>
        <w:tc>
          <w:tcPr>
            <w:tcW w:w="1652" w:type="dxa"/>
            <w:tcBorders>
              <w:bottom w:val="nil"/>
            </w:tcBorders>
            <w:vAlign w:val="center"/>
          </w:tcPr>
          <w:p w:rsidR="00EC4361" w:rsidRPr="00EE731B" w:rsidRDefault="00EC4361" w:rsidP="00EC4361">
            <w:pPr>
              <w:ind w:firstLine="0"/>
              <w:jc w:val="center"/>
              <w:rPr>
                <w:rFonts w:cs="Times New Roman"/>
                <w:sz w:val="22"/>
              </w:rPr>
            </w:pPr>
            <w:r w:rsidRPr="00EE731B">
              <w:rPr>
                <w:rFonts w:cs="Times New Roman"/>
                <w:color w:val="000000"/>
                <w:sz w:val="22"/>
              </w:rPr>
              <w:t>29 536 160</w:t>
            </w:r>
          </w:p>
        </w:tc>
        <w:tc>
          <w:tcPr>
            <w:tcW w:w="1514" w:type="dxa"/>
            <w:tcBorders>
              <w:bottom w:val="nil"/>
            </w:tcBorders>
            <w:vAlign w:val="center"/>
          </w:tcPr>
          <w:p w:rsidR="00EC4361" w:rsidRPr="00EE731B" w:rsidRDefault="00EC4361" w:rsidP="00EC4361">
            <w:pPr>
              <w:ind w:firstLine="0"/>
              <w:jc w:val="center"/>
              <w:rPr>
                <w:rFonts w:cs="Times New Roman"/>
                <w:sz w:val="22"/>
              </w:rPr>
            </w:pPr>
            <w:r w:rsidRPr="00EE731B">
              <w:rPr>
                <w:rFonts w:cs="Times New Roman"/>
                <w:color w:val="000000"/>
                <w:sz w:val="22"/>
              </w:rPr>
              <w:t>45 338 887</w:t>
            </w:r>
          </w:p>
        </w:tc>
      </w:tr>
      <w:tr w:rsidR="00EC4361" w:rsidTr="00863D53">
        <w:trPr>
          <w:trHeight w:val="253"/>
        </w:trPr>
        <w:tc>
          <w:tcPr>
            <w:tcW w:w="4815" w:type="dxa"/>
            <w:tcBorders>
              <w:bottom w:val="nil"/>
            </w:tcBorders>
            <w:vAlign w:val="center"/>
          </w:tcPr>
          <w:p w:rsidR="00EC4361" w:rsidRPr="00EE731B" w:rsidRDefault="00EC4361" w:rsidP="00EC4361">
            <w:pPr>
              <w:ind w:firstLine="0"/>
              <w:rPr>
                <w:rFonts w:eastAsia="Times New Roman" w:cs="Times New Roman"/>
                <w:color w:val="000000"/>
                <w:sz w:val="22"/>
              </w:rPr>
            </w:pPr>
            <w:r w:rsidRPr="00EE731B">
              <w:rPr>
                <w:rFonts w:cs="Times New Roman"/>
                <w:b/>
                <w:bCs/>
                <w:color w:val="000000"/>
                <w:sz w:val="22"/>
              </w:rPr>
              <w:t>Kopā papildu nepieciešams </w:t>
            </w:r>
          </w:p>
        </w:tc>
        <w:tc>
          <w:tcPr>
            <w:tcW w:w="1376" w:type="dxa"/>
            <w:tcBorders>
              <w:bottom w:val="nil"/>
            </w:tcBorders>
            <w:vAlign w:val="center"/>
          </w:tcPr>
          <w:p w:rsidR="00EC4361" w:rsidRPr="00EE731B" w:rsidRDefault="00EC4361" w:rsidP="00EC4361">
            <w:pPr>
              <w:ind w:firstLine="0"/>
              <w:jc w:val="center"/>
              <w:rPr>
                <w:rFonts w:cs="Times New Roman"/>
                <w:sz w:val="22"/>
              </w:rPr>
            </w:pPr>
            <w:r w:rsidRPr="00EE731B">
              <w:rPr>
                <w:rFonts w:cs="Times New Roman"/>
                <w:b/>
                <w:bCs/>
                <w:color w:val="000000"/>
                <w:sz w:val="22"/>
              </w:rPr>
              <w:t>17 502 077</w:t>
            </w:r>
          </w:p>
        </w:tc>
        <w:tc>
          <w:tcPr>
            <w:tcW w:w="1652" w:type="dxa"/>
            <w:tcBorders>
              <w:bottom w:val="nil"/>
            </w:tcBorders>
            <w:vAlign w:val="center"/>
          </w:tcPr>
          <w:p w:rsidR="00EC4361" w:rsidRPr="00EE731B" w:rsidRDefault="00EC4361" w:rsidP="00EC4361">
            <w:pPr>
              <w:ind w:firstLine="0"/>
              <w:jc w:val="center"/>
              <w:rPr>
                <w:rFonts w:cs="Times New Roman"/>
                <w:sz w:val="22"/>
              </w:rPr>
            </w:pPr>
            <w:r w:rsidRPr="00EE731B">
              <w:rPr>
                <w:rFonts w:cs="Times New Roman"/>
                <w:b/>
                <w:bCs/>
                <w:color w:val="000000"/>
                <w:sz w:val="22"/>
              </w:rPr>
              <w:t>57 516 851</w:t>
            </w:r>
          </w:p>
        </w:tc>
        <w:tc>
          <w:tcPr>
            <w:tcW w:w="1514" w:type="dxa"/>
            <w:tcBorders>
              <w:bottom w:val="nil"/>
            </w:tcBorders>
            <w:vAlign w:val="center"/>
          </w:tcPr>
          <w:p w:rsidR="00EC4361" w:rsidRPr="00EE731B" w:rsidRDefault="00EC4361" w:rsidP="00EC4361">
            <w:pPr>
              <w:ind w:firstLine="0"/>
              <w:jc w:val="center"/>
              <w:rPr>
                <w:rFonts w:cs="Times New Roman"/>
                <w:sz w:val="22"/>
              </w:rPr>
            </w:pPr>
            <w:r w:rsidRPr="00EE731B">
              <w:rPr>
                <w:rFonts w:cs="Times New Roman"/>
                <w:b/>
                <w:bCs/>
                <w:color w:val="000000"/>
                <w:sz w:val="22"/>
              </w:rPr>
              <w:t>73 319 578</w:t>
            </w:r>
          </w:p>
        </w:tc>
      </w:tr>
      <w:tr w:rsidR="00863D53" w:rsidTr="00863D53">
        <w:trPr>
          <w:trHeight w:val="278"/>
        </w:trPr>
        <w:tc>
          <w:tcPr>
            <w:tcW w:w="4815" w:type="dxa"/>
            <w:tcBorders>
              <w:top w:val="nil"/>
            </w:tcBorders>
            <w:shd w:val="clear" w:color="auto" w:fill="D3CEDC"/>
            <w:vAlign w:val="bottom"/>
          </w:tcPr>
          <w:p w:rsidR="00863D53" w:rsidRPr="00EE731B" w:rsidRDefault="00863D53" w:rsidP="00C428F2">
            <w:pPr>
              <w:ind w:firstLine="0"/>
              <w:rPr>
                <w:rFonts w:eastAsia="Times New Roman" w:cs="Times New Roman"/>
                <w:color w:val="000000"/>
                <w:sz w:val="22"/>
              </w:rPr>
            </w:pPr>
            <w:r w:rsidRPr="00EE731B">
              <w:rPr>
                <w:rFonts w:eastAsia="Times New Roman" w:cs="Times New Roman"/>
                <w:color w:val="000000"/>
                <w:sz w:val="22"/>
              </w:rPr>
              <w:t xml:space="preserve">Modelis Nr.3 – </w:t>
            </w:r>
            <w:r w:rsidR="00C428F2" w:rsidRPr="00EE731B">
              <w:rPr>
                <w:rFonts w:eastAsia="Times New Roman" w:cs="Times New Roman"/>
                <w:color w:val="000000"/>
                <w:sz w:val="22"/>
              </w:rPr>
              <w:t>"</w:t>
            </w:r>
            <w:r w:rsidR="00C138E5" w:rsidRPr="00EE731B">
              <w:rPr>
                <w:rFonts w:eastAsia="Times New Roman" w:cs="Times New Roman"/>
                <w:color w:val="000000"/>
                <w:sz w:val="22"/>
              </w:rPr>
              <w:t>Skolēns pašvaldībā</w:t>
            </w:r>
            <w:r w:rsidR="00C428F2" w:rsidRPr="00EE731B">
              <w:rPr>
                <w:rFonts w:eastAsia="Times New Roman" w:cs="Times New Roman"/>
                <w:color w:val="000000"/>
                <w:sz w:val="22"/>
              </w:rPr>
              <w:t>"</w:t>
            </w:r>
          </w:p>
        </w:tc>
        <w:tc>
          <w:tcPr>
            <w:tcW w:w="1376" w:type="dxa"/>
            <w:tcBorders>
              <w:top w:val="nil"/>
            </w:tcBorders>
            <w:shd w:val="clear" w:color="auto" w:fill="D3CEDC"/>
          </w:tcPr>
          <w:p w:rsidR="00863D53" w:rsidRPr="00EE731B" w:rsidRDefault="00863D53" w:rsidP="00863D53">
            <w:pPr>
              <w:ind w:firstLine="0"/>
              <w:jc w:val="center"/>
              <w:rPr>
                <w:rFonts w:cs="Times New Roman"/>
                <w:sz w:val="22"/>
              </w:rPr>
            </w:pPr>
          </w:p>
        </w:tc>
        <w:tc>
          <w:tcPr>
            <w:tcW w:w="1652" w:type="dxa"/>
            <w:tcBorders>
              <w:top w:val="nil"/>
            </w:tcBorders>
            <w:shd w:val="clear" w:color="auto" w:fill="D3CEDC"/>
          </w:tcPr>
          <w:p w:rsidR="00863D53" w:rsidRPr="00EE731B" w:rsidRDefault="00863D53" w:rsidP="00863D53">
            <w:pPr>
              <w:ind w:firstLine="0"/>
              <w:jc w:val="center"/>
              <w:rPr>
                <w:rFonts w:cs="Times New Roman"/>
                <w:sz w:val="22"/>
              </w:rPr>
            </w:pPr>
          </w:p>
        </w:tc>
        <w:tc>
          <w:tcPr>
            <w:tcW w:w="1514" w:type="dxa"/>
            <w:tcBorders>
              <w:top w:val="nil"/>
            </w:tcBorders>
            <w:shd w:val="clear" w:color="auto" w:fill="D3CEDC"/>
          </w:tcPr>
          <w:p w:rsidR="00863D53" w:rsidRPr="00EE731B" w:rsidRDefault="00863D53" w:rsidP="00863D53">
            <w:pPr>
              <w:ind w:firstLine="0"/>
              <w:jc w:val="center"/>
              <w:rPr>
                <w:rFonts w:cs="Times New Roman"/>
                <w:sz w:val="22"/>
              </w:rPr>
            </w:pPr>
          </w:p>
        </w:tc>
      </w:tr>
      <w:tr w:rsidR="00EE731B" w:rsidTr="00A21E09">
        <w:trPr>
          <w:trHeight w:val="278"/>
        </w:trPr>
        <w:tc>
          <w:tcPr>
            <w:tcW w:w="4815" w:type="dxa"/>
            <w:vAlign w:val="center"/>
          </w:tcPr>
          <w:p w:rsidR="00EE731B" w:rsidRPr="00EE731B" w:rsidRDefault="00EE731B" w:rsidP="00EE731B">
            <w:pPr>
              <w:ind w:firstLine="0"/>
              <w:rPr>
                <w:rFonts w:eastAsia="Times New Roman" w:cs="Times New Roman"/>
                <w:color w:val="000000"/>
                <w:sz w:val="22"/>
              </w:rPr>
            </w:pPr>
            <w:r w:rsidRPr="00EE731B">
              <w:rPr>
                <w:rFonts w:cs="Times New Roman"/>
                <w:color w:val="000000"/>
                <w:sz w:val="22"/>
              </w:rPr>
              <w:t xml:space="preserve">– algas likmes palielinājums līdz 900 </w:t>
            </w:r>
            <w:r w:rsidRPr="00EE731B">
              <w:rPr>
                <w:rFonts w:cs="Times New Roman"/>
                <w:i/>
                <w:iCs/>
                <w:color w:val="000000"/>
                <w:sz w:val="22"/>
              </w:rPr>
              <w:t>euro</w:t>
            </w:r>
          </w:p>
        </w:tc>
        <w:tc>
          <w:tcPr>
            <w:tcW w:w="1376" w:type="dxa"/>
            <w:vAlign w:val="center"/>
          </w:tcPr>
          <w:p w:rsidR="00EE731B" w:rsidRPr="00EE731B" w:rsidRDefault="00EE731B" w:rsidP="00EE731B">
            <w:pPr>
              <w:ind w:firstLine="0"/>
              <w:jc w:val="center"/>
              <w:rPr>
                <w:rFonts w:cs="Times New Roman"/>
                <w:sz w:val="22"/>
              </w:rPr>
            </w:pPr>
            <w:r w:rsidRPr="00EE731B">
              <w:rPr>
                <w:rFonts w:cs="Times New Roman"/>
                <w:color w:val="000000"/>
                <w:sz w:val="22"/>
              </w:rPr>
              <w:t>9 326 897</w:t>
            </w:r>
          </w:p>
        </w:tc>
        <w:tc>
          <w:tcPr>
            <w:tcW w:w="1652" w:type="dxa"/>
            <w:vAlign w:val="center"/>
          </w:tcPr>
          <w:p w:rsidR="00EE731B" w:rsidRPr="00EE731B" w:rsidRDefault="00EE731B" w:rsidP="00EE731B">
            <w:pPr>
              <w:ind w:firstLine="0"/>
              <w:jc w:val="center"/>
              <w:rPr>
                <w:rFonts w:cs="Times New Roman"/>
                <w:sz w:val="22"/>
              </w:rPr>
            </w:pPr>
            <w:r w:rsidRPr="00EE731B">
              <w:rPr>
                <w:rFonts w:cs="Times New Roman"/>
                <w:color w:val="000000"/>
                <w:sz w:val="22"/>
              </w:rPr>
              <w:t>27 980 691</w:t>
            </w:r>
          </w:p>
        </w:tc>
        <w:tc>
          <w:tcPr>
            <w:tcW w:w="1514" w:type="dxa"/>
            <w:vAlign w:val="center"/>
          </w:tcPr>
          <w:p w:rsidR="00EE731B" w:rsidRPr="00EE731B" w:rsidRDefault="00EE731B" w:rsidP="00EE731B">
            <w:pPr>
              <w:ind w:firstLine="0"/>
              <w:jc w:val="center"/>
              <w:rPr>
                <w:rFonts w:cs="Times New Roman"/>
                <w:sz w:val="22"/>
              </w:rPr>
            </w:pPr>
            <w:r w:rsidRPr="00EE731B">
              <w:rPr>
                <w:rFonts w:cs="Times New Roman"/>
                <w:color w:val="000000"/>
                <w:sz w:val="22"/>
              </w:rPr>
              <w:t>27 980 691</w:t>
            </w:r>
          </w:p>
        </w:tc>
      </w:tr>
      <w:tr w:rsidR="00EE731B" w:rsidTr="00A21E09">
        <w:trPr>
          <w:trHeight w:val="278"/>
        </w:trPr>
        <w:tc>
          <w:tcPr>
            <w:tcW w:w="4815" w:type="dxa"/>
            <w:vAlign w:val="center"/>
          </w:tcPr>
          <w:p w:rsidR="00EE731B" w:rsidRPr="00EE731B" w:rsidRDefault="00EE731B" w:rsidP="00EE731B">
            <w:pPr>
              <w:ind w:firstLine="0"/>
              <w:rPr>
                <w:rFonts w:eastAsia="Times New Roman" w:cs="Times New Roman"/>
                <w:color w:val="000000"/>
                <w:sz w:val="22"/>
              </w:rPr>
            </w:pPr>
            <w:r w:rsidRPr="00EE731B">
              <w:rPr>
                <w:rFonts w:cs="Times New Roman"/>
                <w:color w:val="000000"/>
                <w:sz w:val="22"/>
              </w:rPr>
              <w:t>– aprēķina maiņai</w:t>
            </w:r>
          </w:p>
        </w:tc>
        <w:tc>
          <w:tcPr>
            <w:tcW w:w="1376" w:type="dxa"/>
            <w:vAlign w:val="center"/>
          </w:tcPr>
          <w:p w:rsidR="00EE731B" w:rsidRPr="00EE731B" w:rsidRDefault="00B70024" w:rsidP="00EE731B">
            <w:pPr>
              <w:ind w:firstLine="0"/>
              <w:jc w:val="center"/>
              <w:rPr>
                <w:rFonts w:cs="Times New Roman"/>
                <w:sz w:val="22"/>
              </w:rPr>
            </w:pPr>
            <w:r>
              <w:rPr>
                <w:rFonts w:cs="Times New Roman"/>
                <w:sz w:val="22"/>
              </w:rPr>
              <w:t>1 857 466</w:t>
            </w:r>
          </w:p>
        </w:tc>
        <w:tc>
          <w:tcPr>
            <w:tcW w:w="1652" w:type="dxa"/>
            <w:vAlign w:val="center"/>
          </w:tcPr>
          <w:p w:rsidR="00EE731B" w:rsidRPr="00EE731B" w:rsidRDefault="00B70024" w:rsidP="00EE731B">
            <w:pPr>
              <w:ind w:firstLine="0"/>
              <w:jc w:val="center"/>
              <w:rPr>
                <w:rFonts w:cs="Times New Roman"/>
                <w:sz w:val="22"/>
              </w:rPr>
            </w:pPr>
            <w:r>
              <w:rPr>
                <w:rFonts w:cs="Times New Roman"/>
                <w:sz w:val="22"/>
              </w:rPr>
              <w:t>5 572 398</w:t>
            </w:r>
          </w:p>
        </w:tc>
        <w:tc>
          <w:tcPr>
            <w:tcW w:w="1514" w:type="dxa"/>
            <w:vAlign w:val="center"/>
          </w:tcPr>
          <w:p w:rsidR="00EE731B" w:rsidRPr="00EE731B" w:rsidRDefault="00B70024" w:rsidP="00EE731B">
            <w:pPr>
              <w:ind w:firstLine="0"/>
              <w:jc w:val="center"/>
              <w:rPr>
                <w:rFonts w:cs="Times New Roman"/>
                <w:sz w:val="22"/>
              </w:rPr>
            </w:pPr>
            <w:r>
              <w:rPr>
                <w:rFonts w:cs="Times New Roman"/>
                <w:sz w:val="22"/>
              </w:rPr>
              <w:t>5 572 398</w:t>
            </w:r>
          </w:p>
        </w:tc>
      </w:tr>
      <w:tr w:rsidR="00863D53" w:rsidTr="00863D53">
        <w:trPr>
          <w:trHeight w:val="265"/>
        </w:trPr>
        <w:tc>
          <w:tcPr>
            <w:tcW w:w="4815" w:type="dxa"/>
            <w:vAlign w:val="center"/>
          </w:tcPr>
          <w:p w:rsidR="00863D53" w:rsidRPr="00EE731B" w:rsidRDefault="00863D53" w:rsidP="00863D53">
            <w:pPr>
              <w:ind w:firstLine="0"/>
              <w:rPr>
                <w:rFonts w:eastAsia="Times New Roman" w:cs="Times New Roman"/>
                <w:color w:val="000000"/>
                <w:sz w:val="22"/>
                <w:highlight w:val="yellow"/>
              </w:rPr>
            </w:pPr>
            <w:r w:rsidRPr="00EE731B">
              <w:rPr>
                <w:rFonts w:cs="Times New Roman"/>
                <w:b/>
                <w:bCs/>
                <w:color w:val="000000"/>
                <w:sz w:val="22"/>
              </w:rPr>
              <w:t>Kopā papildu nepieciešams </w:t>
            </w:r>
          </w:p>
        </w:tc>
        <w:tc>
          <w:tcPr>
            <w:tcW w:w="1376" w:type="dxa"/>
          </w:tcPr>
          <w:p w:rsidR="00863D53" w:rsidRPr="00EE731B" w:rsidRDefault="004063D1" w:rsidP="00B70024">
            <w:pPr>
              <w:ind w:firstLine="0"/>
              <w:jc w:val="center"/>
              <w:rPr>
                <w:rFonts w:cs="Times New Roman"/>
                <w:b/>
                <w:sz w:val="22"/>
              </w:rPr>
            </w:pPr>
            <w:r>
              <w:rPr>
                <w:rFonts w:cs="Times New Roman"/>
                <w:b/>
                <w:sz w:val="22"/>
              </w:rPr>
              <w:t>11</w:t>
            </w:r>
            <w:r w:rsidR="00B70024">
              <w:rPr>
                <w:rFonts w:cs="Times New Roman"/>
                <w:b/>
                <w:sz w:val="22"/>
              </w:rPr>
              <w:t> </w:t>
            </w:r>
            <w:r>
              <w:rPr>
                <w:rFonts w:cs="Times New Roman"/>
                <w:b/>
                <w:sz w:val="22"/>
              </w:rPr>
              <w:t>1</w:t>
            </w:r>
            <w:r w:rsidR="00B70024">
              <w:rPr>
                <w:rFonts w:cs="Times New Roman"/>
                <w:b/>
                <w:sz w:val="22"/>
              </w:rPr>
              <w:t>84 363</w:t>
            </w:r>
          </w:p>
        </w:tc>
        <w:tc>
          <w:tcPr>
            <w:tcW w:w="1652" w:type="dxa"/>
          </w:tcPr>
          <w:p w:rsidR="00863D53" w:rsidRPr="00EE731B" w:rsidRDefault="004063D1" w:rsidP="00B70024">
            <w:pPr>
              <w:ind w:firstLine="0"/>
              <w:jc w:val="center"/>
              <w:rPr>
                <w:rFonts w:cs="Times New Roman"/>
                <w:b/>
                <w:sz w:val="22"/>
              </w:rPr>
            </w:pPr>
            <w:r>
              <w:rPr>
                <w:rFonts w:cs="Times New Roman"/>
                <w:b/>
                <w:sz w:val="22"/>
              </w:rPr>
              <w:t>33</w:t>
            </w:r>
            <w:r w:rsidR="00B70024">
              <w:rPr>
                <w:rFonts w:cs="Times New Roman"/>
                <w:b/>
                <w:sz w:val="22"/>
              </w:rPr>
              <w:t> 553 089</w:t>
            </w:r>
          </w:p>
        </w:tc>
        <w:tc>
          <w:tcPr>
            <w:tcW w:w="1514" w:type="dxa"/>
          </w:tcPr>
          <w:p w:rsidR="00863D53" w:rsidRPr="00EE731B" w:rsidRDefault="00B70024" w:rsidP="00863D53">
            <w:pPr>
              <w:ind w:firstLine="0"/>
              <w:jc w:val="center"/>
              <w:rPr>
                <w:rFonts w:cs="Times New Roman"/>
                <w:b/>
                <w:sz w:val="22"/>
              </w:rPr>
            </w:pPr>
            <w:r>
              <w:rPr>
                <w:rFonts w:cs="Times New Roman"/>
                <w:b/>
                <w:sz w:val="22"/>
              </w:rPr>
              <w:t>33 553 089</w:t>
            </w:r>
          </w:p>
        </w:tc>
      </w:tr>
    </w:tbl>
    <w:p w:rsidR="00956D6D" w:rsidRDefault="00956D6D" w:rsidP="00E24C13">
      <w:pPr>
        <w:spacing w:after="0"/>
        <w:ind w:firstLine="0"/>
        <w:rPr>
          <w:i/>
          <w:szCs w:val="24"/>
        </w:rPr>
      </w:pPr>
    </w:p>
    <w:p w:rsidR="00E24C13" w:rsidRDefault="00E24C13" w:rsidP="00863D53">
      <w:r>
        <w:t xml:space="preserve">Papildu nepieciešamais finansējums ir rēķināts, ņemot vērā izglītojamo skaitu 2020. gada 1. septembrī, kā arī valsts budžeta bāzē paredzēto finansējumu zemākajai pedagogu darba algas likmei 830 </w:t>
      </w:r>
      <w:r w:rsidRPr="003E69A2">
        <w:rPr>
          <w:i/>
        </w:rPr>
        <w:t>euro</w:t>
      </w:r>
      <w:r w:rsidR="00166AC7">
        <w:t xml:space="preserve"> apmērā no 01.09.2021.</w:t>
      </w:r>
    </w:p>
    <w:p w:rsidR="00863D53" w:rsidRDefault="00863D53" w:rsidP="00863D53"/>
    <w:p w:rsidR="00452BFD" w:rsidRPr="002731D1" w:rsidRDefault="00C30E54" w:rsidP="002731D1">
      <w:pPr>
        <w:pStyle w:val="Heading1"/>
      </w:pPr>
      <w:bookmarkStart w:id="11" w:name="_Toc81299625"/>
      <w:r>
        <w:t>3</w:t>
      </w:r>
      <w:r w:rsidR="00EF19B8">
        <w:t>. </w:t>
      </w:r>
      <w:r w:rsidR="00A71D9C">
        <w:t xml:space="preserve">Priekšlikumi </w:t>
      </w:r>
      <w:r w:rsidR="009874D1">
        <w:t xml:space="preserve">pašvaldību vispārizglītojošo </w:t>
      </w:r>
      <w:r w:rsidR="00A71D9C">
        <w:t>skolu tīkla sakārtošanai</w:t>
      </w:r>
      <w:bookmarkEnd w:id="11"/>
    </w:p>
    <w:p w:rsidR="00452BFD" w:rsidRPr="00452BFD" w:rsidRDefault="00452BFD" w:rsidP="002542C6">
      <w:r w:rsidRPr="00452BFD">
        <w:t>Izglītības iestāžu tīkla sakārtošanas aktualitāti apstiprina administratīvi ter</w:t>
      </w:r>
      <w:r w:rsidR="00C138E5">
        <w:t xml:space="preserve">itoriālās reformas īstenošana </w:t>
      </w:r>
      <w:r w:rsidR="00A809E4">
        <w:t>–</w:t>
      </w:r>
      <w:r w:rsidRPr="00452BFD">
        <w:t xml:space="preserve"> līdzšinējo 1</w:t>
      </w:r>
      <w:r w:rsidR="000256C9">
        <w:t xml:space="preserve">19 pašvaldību vietā </w:t>
      </w:r>
      <w:r w:rsidR="00C138E5">
        <w:t>no 2021.gada 1. jūlija darbojas</w:t>
      </w:r>
      <w:r w:rsidR="000256C9">
        <w:t xml:space="preserve"> 4</w:t>
      </w:r>
      <w:r w:rsidR="00C138E5">
        <w:t>3</w:t>
      </w:r>
      <w:r w:rsidRPr="00452BFD">
        <w:t xml:space="preserve"> pašvaldības, tādējā</w:t>
      </w:r>
      <w:r w:rsidR="00C138E5">
        <w:t>di daļā pašvaldību paplašinās</w:t>
      </w:r>
      <w:r w:rsidRPr="00452BFD">
        <w:t xml:space="preserve"> to pakļautībā esošo vispārējās izglītības iestāžu tīkls, kas ļaus izvēlēties atbilstošāko loģistiku, </w:t>
      </w:r>
      <w:r w:rsidR="008B2B03">
        <w:t>izglītojamiem</w:t>
      </w:r>
      <w:r w:rsidR="008B2B03" w:rsidRPr="00452BFD">
        <w:t xml:space="preserve"> </w:t>
      </w:r>
      <w:r w:rsidRPr="00452BFD">
        <w:t>nodrošināt iekļaujošu, modernu izglītības vidi un pedagogiem – lielāku finansiālu un metodisku atbalstu.</w:t>
      </w:r>
      <w:r w:rsidR="002542C6">
        <w:t xml:space="preserve"> Kvalitatīvas izglītības nodrošināšanas un finanšu efektīvas izmantošanas guvumi, kas rodas pašvaldībai veidojot optimālu skolu tīklu, parādīti SIA </w:t>
      </w:r>
      <w:r w:rsidR="00A809E4">
        <w:t>"</w:t>
      </w:r>
      <w:r w:rsidR="002542C6" w:rsidRPr="002542C6">
        <w:t>Karšu izdevniecība Jāņa sēta</w:t>
      </w:r>
      <w:r w:rsidR="00A809E4">
        <w:t>"</w:t>
      </w:r>
      <w:r w:rsidR="002542C6">
        <w:t xml:space="preserve"> 2020.gadā veiktajā pētījumā </w:t>
      </w:r>
      <w:r w:rsidR="00A809E4">
        <w:t>"</w:t>
      </w:r>
      <w:r w:rsidR="002542C6">
        <w:t xml:space="preserve">Publisko pakalpojumu kvalitātes un efektivitātes uzlabošanas iespējas: skolu tīkla un skolēnu pārvadājumu piemēri. Smiltenes ietekmes areāla padziļināta </w:t>
      </w:r>
      <w:r w:rsidR="002542C6" w:rsidRPr="002542C6">
        <w:t>analīze ATR kontekstā</w:t>
      </w:r>
      <w:r w:rsidR="00A809E4">
        <w:t>"</w:t>
      </w:r>
      <w:r w:rsidR="002542C6">
        <w:rPr>
          <w:rStyle w:val="FootnoteReference"/>
        </w:rPr>
        <w:footnoteReference w:id="18"/>
      </w:r>
      <w:r w:rsidR="002542C6">
        <w:t>.</w:t>
      </w:r>
    </w:p>
    <w:p w:rsidR="00145EA1" w:rsidRDefault="00452BFD" w:rsidP="00313DA7">
      <w:pPr>
        <w:rPr>
          <w:szCs w:val="24"/>
        </w:rPr>
      </w:pPr>
      <w:r w:rsidRPr="00452BFD">
        <w:rPr>
          <w:szCs w:val="24"/>
        </w:rPr>
        <w:t xml:space="preserve">Analizējot Latvijas </w:t>
      </w:r>
      <w:r w:rsidR="00372BB4">
        <w:rPr>
          <w:szCs w:val="24"/>
        </w:rPr>
        <w:t>izglītojamo</w:t>
      </w:r>
      <w:r w:rsidR="00372BB4" w:rsidRPr="00452BFD">
        <w:rPr>
          <w:szCs w:val="24"/>
        </w:rPr>
        <w:t xml:space="preserve"> </w:t>
      </w:r>
      <w:r w:rsidRPr="00452BFD">
        <w:rPr>
          <w:szCs w:val="24"/>
        </w:rPr>
        <w:t xml:space="preserve">skaita demogrāfisko situāciju, klašu piepildījumu, izglītojamo un pedagogu skaita proporciju, ietekmi uz pedagogu atalgojumu, kā arī izmaksas uz vienu izglītojamo un izglītības iestāžu telpu kapacitāti, </w:t>
      </w:r>
      <w:r w:rsidR="001E5C1F">
        <w:rPr>
          <w:szCs w:val="24"/>
        </w:rPr>
        <w:t xml:space="preserve">darba grupā </w:t>
      </w:r>
      <w:r w:rsidRPr="00452BFD">
        <w:rPr>
          <w:szCs w:val="24"/>
        </w:rPr>
        <w:t xml:space="preserve">izstrādāts piedāvājums efektīvu izglītības iestādi raksturojošiem rādītājiem </w:t>
      </w:r>
      <w:r w:rsidRPr="0052348F">
        <w:rPr>
          <w:szCs w:val="24"/>
        </w:rPr>
        <w:t>(</w:t>
      </w:r>
      <w:r w:rsidR="00C138E5" w:rsidRPr="0052348F">
        <w:rPr>
          <w:szCs w:val="24"/>
        </w:rPr>
        <w:t>5</w:t>
      </w:r>
      <w:r w:rsidR="001E5C1F" w:rsidRPr="0052348F">
        <w:rPr>
          <w:szCs w:val="24"/>
        </w:rPr>
        <w:t>.pielikums)</w:t>
      </w:r>
      <w:r w:rsidR="009F7C33" w:rsidRPr="00313DA7">
        <w:rPr>
          <w:szCs w:val="24"/>
        </w:rPr>
        <w:t xml:space="preserve"> </w:t>
      </w:r>
      <w:r w:rsidR="009F7C33" w:rsidRPr="009F7C33">
        <w:rPr>
          <w:szCs w:val="24"/>
        </w:rPr>
        <w:t>(turpmāk – efektivitātes rādītāji)</w:t>
      </w:r>
      <w:r w:rsidR="001E5C1F" w:rsidRPr="009F7C33">
        <w:rPr>
          <w:szCs w:val="24"/>
        </w:rPr>
        <w:t>,</w:t>
      </w:r>
      <w:r w:rsidR="001E5C1F">
        <w:rPr>
          <w:szCs w:val="24"/>
        </w:rPr>
        <w:t xml:space="preserve"> kas izmantojams pašvaldībām, izvērtējot vispārējās izglī</w:t>
      </w:r>
      <w:r w:rsidR="00D53F0A">
        <w:rPr>
          <w:szCs w:val="24"/>
        </w:rPr>
        <w:t>tī</w:t>
      </w:r>
      <w:r w:rsidR="001E5C1F">
        <w:rPr>
          <w:szCs w:val="24"/>
        </w:rPr>
        <w:t>bas iestāžu tīklu pirms lēmumu par izmaiņām tīklā pieņemšanas.</w:t>
      </w:r>
    </w:p>
    <w:p w:rsidR="00145EA1" w:rsidRPr="00145EA1" w:rsidRDefault="009F7C33" w:rsidP="00C160AD">
      <w:pPr>
        <w:spacing w:after="0"/>
        <w:rPr>
          <w:szCs w:val="24"/>
        </w:rPr>
      </w:pPr>
      <w:r>
        <w:rPr>
          <w:szCs w:val="24"/>
        </w:rPr>
        <w:t>Efektivitātes r</w:t>
      </w:r>
      <w:r w:rsidR="00145EA1" w:rsidRPr="00145EA1">
        <w:rPr>
          <w:szCs w:val="24"/>
        </w:rPr>
        <w:t>ādītāju apkopojums vidusskolām, pamatskolām un sākumskolām veidots, izmantojot teritoriālo principu. Atbilstoši jau informatīvajā ziņojumā "Par kvalitatīvas vispārējās vidējās izglītības nod</w:t>
      </w:r>
      <w:r w:rsidR="00145EA1">
        <w:rPr>
          <w:szCs w:val="24"/>
        </w:rPr>
        <w:t xml:space="preserve">rošināšanas priekšnosacījumiem" </w:t>
      </w:r>
      <w:r w:rsidR="00145EA1" w:rsidRPr="00145EA1">
        <w:rPr>
          <w:szCs w:val="24"/>
        </w:rPr>
        <w:t>piedāvātajam, teritoriālais iedalījums četros reģionu blokos</w:t>
      </w:r>
      <w:r w:rsidR="00BC7777">
        <w:rPr>
          <w:rStyle w:val="FootnoteReference"/>
          <w:szCs w:val="24"/>
        </w:rPr>
        <w:footnoteReference w:id="19"/>
      </w:r>
      <w:r w:rsidR="00145EA1" w:rsidRPr="00145EA1">
        <w:rPr>
          <w:szCs w:val="24"/>
        </w:rPr>
        <w:t xml:space="preserve"> ietver:</w:t>
      </w:r>
    </w:p>
    <w:p w:rsidR="00145EA1" w:rsidRPr="00145EA1" w:rsidRDefault="00CD6D85" w:rsidP="00C160AD">
      <w:pPr>
        <w:spacing w:after="0"/>
      </w:pPr>
      <w:r>
        <w:t>1. </w:t>
      </w:r>
      <w:r w:rsidR="00145EA1" w:rsidRPr="00145EA1">
        <w:t>ATR1: desmit valstspilsētas – Rīga, Daugavpils, Liepāja, Jūrmala, Rēzekne, Valmiera, Jelgava, Jēkabpils, Ventspils, Ogre</w:t>
      </w:r>
      <w:r>
        <w:t>;</w:t>
      </w:r>
    </w:p>
    <w:p w:rsidR="00145EA1" w:rsidRPr="00145EA1" w:rsidRDefault="00CD6D85" w:rsidP="00C160AD">
      <w:pPr>
        <w:spacing w:after="0"/>
      </w:pPr>
      <w:r>
        <w:t>2. </w:t>
      </w:r>
      <w:r w:rsidR="00145EA1" w:rsidRPr="00145EA1">
        <w:t>ATR2: administratīvo teritoriju administratīvie centri (izņemot valstspilsētas)</w:t>
      </w:r>
      <w:r>
        <w:t>;</w:t>
      </w:r>
    </w:p>
    <w:p w:rsidR="00145EA1" w:rsidRPr="00145EA1" w:rsidRDefault="00CD6D85" w:rsidP="00C160AD">
      <w:pPr>
        <w:spacing w:after="0"/>
      </w:pPr>
      <w:r>
        <w:t>3. </w:t>
      </w:r>
      <w:r w:rsidR="00145EA1" w:rsidRPr="00145EA1">
        <w:t>ATR3: novadu administratīvās teritorijas ārpus administratīvajiem centriem</w:t>
      </w:r>
      <w:r>
        <w:t>;</w:t>
      </w:r>
    </w:p>
    <w:p w:rsidR="00BC7777" w:rsidRDefault="00CD6D85" w:rsidP="002F762A">
      <w:r>
        <w:t>4. </w:t>
      </w:r>
      <w:r w:rsidR="00145EA1" w:rsidRPr="00145EA1">
        <w:t>ATR4: vidusskolas teritorijās pie Eir</w:t>
      </w:r>
      <w:r w:rsidR="00145EA1">
        <w:t>opas Savienības ārējās robežas</w:t>
      </w:r>
      <w:r w:rsidR="00145EA1">
        <w:rPr>
          <w:rStyle w:val="FootnoteReference"/>
          <w:szCs w:val="24"/>
        </w:rPr>
        <w:footnoteReference w:id="20"/>
      </w:r>
      <w:r w:rsidR="00145EA1">
        <w:t>;</w:t>
      </w:r>
      <w:r w:rsidR="00145EA1" w:rsidRPr="00145EA1">
        <w:t xml:space="preserve"> pamatskolas un sākumskolas novados, t.sk. reģionālās nozīmes pilsētu novados, kuru administratīvajā teritorijā </w:t>
      </w:r>
      <w:r w:rsidR="00D53F0A">
        <w:t>izglītojamo</w:t>
      </w:r>
      <w:r w:rsidR="00D53F0A" w:rsidRPr="00145EA1">
        <w:t xml:space="preserve"> </w:t>
      </w:r>
      <w:r w:rsidR="00145EA1" w:rsidRPr="00145EA1">
        <w:t xml:space="preserve">skaits (klātienes izglītības ieguves formā īstenotajās vispārējās izglītības programmās, </w:t>
      </w:r>
      <w:r w:rsidR="00145EA1" w:rsidRPr="00145EA1">
        <w:lastRenderedPageBreak/>
        <w:t xml:space="preserve">izņemot izglītojamos sociālās aprūpes centros) ir 0,5 </w:t>
      </w:r>
      <w:r w:rsidR="00372BB4">
        <w:t>izglītojamie</w:t>
      </w:r>
      <w:r w:rsidR="00372BB4" w:rsidRPr="00145EA1">
        <w:t xml:space="preserve"> </w:t>
      </w:r>
      <w:r w:rsidR="00145EA1" w:rsidRPr="00145EA1">
        <w:t>uz vienu kvadrātkilometru un mazāk</w:t>
      </w:r>
      <w:r w:rsidR="00BC7777">
        <w:rPr>
          <w:rStyle w:val="FootnoteReference"/>
          <w:szCs w:val="24"/>
        </w:rPr>
        <w:footnoteReference w:id="21"/>
      </w:r>
      <w:r w:rsidR="00145EA1" w:rsidRPr="00145EA1">
        <w:t>.</w:t>
      </w:r>
    </w:p>
    <w:p w:rsidR="00BC7777" w:rsidRPr="00BC7777" w:rsidRDefault="00BC7777" w:rsidP="002F762A">
      <w:r w:rsidRPr="00BC7777">
        <w:t xml:space="preserve">Attiecīgi katram reģionālajam iedalījumam izstrādāts piedāvājums minimālajam izglītojamo skaitam vidusskolās (10.-12.klasei), pamatskolās un sākumskolās. Izvērtējot pašvaldību vispārējās izglītības iestādes pēc datiem 2020./2021. mācību gadā, izstrādāts apkopojums par izglītības iestāžu atbilstību izglītojamo skaita kritērijiem </w:t>
      </w:r>
      <w:r w:rsidRPr="0052348F">
        <w:t>(</w:t>
      </w:r>
      <w:r w:rsidR="00AD3BA5" w:rsidRPr="0052348F">
        <w:t>6</w:t>
      </w:r>
      <w:r w:rsidR="007E039A" w:rsidRPr="0052348F">
        <w:t>.pielikums</w:t>
      </w:r>
      <w:r w:rsidRPr="0052348F">
        <w:t>).</w:t>
      </w:r>
    </w:p>
    <w:p w:rsidR="00BC7777" w:rsidRPr="00BC7777" w:rsidRDefault="00BC7777" w:rsidP="002F762A">
      <w:r w:rsidRPr="00BC7777">
        <w:t xml:space="preserve">Vienlaikus </w:t>
      </w:r>
      <w:r w:rsidR="009F7C33">
        <w:t>efektivitātes rādītājos</w:t>
      </w:r>
      <w:r w:rsidRPr="00BC7777">
        <w:t xml:space="preserve"> </w:t>
      </w:r>
      <w:r w:rsidR="009F7C33">
        <w:t>rasts</w:t>
      </w:r>
      <w:r w:rsidRPr="00BC7777">
        <w:t xml:space="preserve"> risinājums izglītības iestādēm, kurās izglītojamo skaits ir neliels (vidēji klasē no pieciem izglītojamajiem), paredzot, ka tās tiek veidotas kā izglītības programmu īstenošanas vietas citai izglītības iestādei un darbojas</w:t>
      </w:r>
      <w:r w:rsidR="000256C9">
        <w:t xml:space="preserve"> bez atsevišķas administrācijas. </w:t>
      </w:r>
      <w:r w:rsidRPr="00BC7777">
        <w:t>Sākumskolas-filiāles tiek veidotas ārpus novadu administratīvajiem centriem, īsteno pamatizglītības pirmā posma izglītības programmu (1.-3. vai 1.-6.</w:t>
      </w:r>
      <w:r w:rsidR="00030956">
        <w:t xml:space="preserve"> </w:t>
      </w:r>
      <w:r w:rsidRPr="00BC7777">
        <w:t>klasei) un pirmsskolas izglītības programmu.</w:t>
      </w:r>
    </w:p>
    <w:p w:rsidR="00BC7777" w:rsidRPr="00BC7777" w:rsidRDefault="00AD3BA5" w:rsidP="002F762A">
      <w:r>
        <w:t>Modelējot rādītāju</w:t>
      </w:r>
      <w:r w:rsidR="00BC7777" w:rsidRPr="00BC7777">
        <w:t xml:space="preserve"> "Izglītojamo/skolotāju skaita proporcija", vērtēti aprēķina dati par pašvaldību vispārējās izglītības iestādēm 2020./2021. mācību gadā (attiecīgi – izglītojamo skaits izglītības iestādes 1.-12.</w:t>
      </w:r>
      <w:r w:rsidR="00030956">
        <w:t xml:space="preserve"> </w:t>
      </w:r>
      <w:r w:rsidR="00BC7777" w:rsidRPr="00BC7777">
        <w:t xml:space="preserve">klasē, personu skaits, kas ieņem skolotāja amatu (sākumizglītības skolotājs, vispārējās pamatizglītības skolotājs, vispārējās vidējās izglītības skolotājs, speciālās izglītības skolotājs), aprēķinot vidējās rādītāja vērtības katrā teritoriālajā iedalījumā. Izvērtējot minētos aprēķinus, kā arī datus par izglītojamo un skolotāju skaita proporciju citās valstīs, efektīvas izglītības iestādes raksturojumam rādītājam "Izglītojamo/skolotāju likmju proporcija" katrā teritoriālajā iedalījumā izvirzītas optimālās rezultātu mērķa vērtības. </w:t>
      </w:r>
    </w:p>
    <w:p w:rsidR="00BC7777" w:rsidRPr="00BC7777" w:rsidRDefault="00BC7777" w:rsidP="002F762A">
      <w:r w:rsidRPr="00BC7777">
        <w:t>Analizējot rādītāju "Kopējā telpu platība uz vienu izglītojamo", ņemta vērā izglītības iestāžu kopējā telpu platība un kopējais izglītojamo skaits izglītības iestādē klātienes izglītības programmās (t.sk. pirmsskolas izglītības programmās, ja tādas izglītības iestādē tiek īstenotas), kā optimālo vērtību minētajam rādītājam piemērojot vidējo vērtību.</w:t>
      </w:r>
    </w:p>
    <w:p w:rsidR="00BC7777" w:rsidRPr="00BC7777" w:rsidRDefault="00BC7777" w:rsidP="002F762A">
      <w:r w:rsidRPr="00BC7777">
        <w:t>Savukārt rādītājs "Uzturēšanas izmaksas uz vienu izglītojamo" aprēķināts, balstoties uz pašvaldību sniegto informāciju par izglītības iestāžu izdevumiem 2020</w:t>
      </w:r>
      <w:r>
        <w:t>.</w:t>
      </w:r>
      <w:r w:rsidR="00030956">
        <w:t xml:space="preserve"> </w:t>
      </w:r>
      <w:r>
        <w:t>gadā atbilstoši naudas plūsmai</w:t>
      </w:r>
      <w:r>
        <w:rPr>
          <w:rStyle w:val="FootnoteReference"/>
          <w:szCs w:val="24"/>
        </w:rPr>
        <w:footnoteReference w:id="22"/>
      </w:r>
      <w:r>
        <w:t xml:space="preserve">. </w:t>
      </w:r>
      <w:r w:rsidRPr="00BC7777">
        <w:t>Apkopojot datus, vienīgie izdevumi no pašvaldību finansējuma, kas netika iekļauti, bija pedagogu atlīdzība. 2021.</w:t>
      </w:r>
      <w:r w:rsidR="00030956">
        <w:t xml:space="preserve"> </w:t>
      </w:r>
      <w:r w:rsidRPr="00BC7777">
        <w:t>gada maijā dati tika nodoti pašvaldībām savu skolu izdevumu salīdzināšanai ar citu novadu skolu izmaksām.</w:t>
      </w:r>
    </w:p>
    <w:p w:rsidR="00BC7777" w:rsidRPr="00BC7777" w:rsidRDefault="00BC7777" w:rsidP="002F762A">
      <w:r w:rsidRPr="00BC7777">
        <w:t xml:space="preserve">Tāpat arī </w:t>
      </w:r>
      <w:r w:rsidR="00AD3BA5" w:rsidRPr="0052348F">
        <w:t>5</w:t>
      </w:r>
      <w:r w:rsidRPr="0052348F">
        <w:t>.</w:t>
      </w:r>
      <w:r w:rsidR="009F7C33" w:rsidRPr="0052348F">
        <w:t>pielikumā</w:t>
      </w:r>
      <w:r w:rsidRPr="00BC7777">
        <w:t xml:space="preserve"> norādīts, kāda atbalsta personāla pieejamība minimāli būtu jānodrošina izglītības iestādē. Akcentējot iekļaujošās izglītības nozīmi, norādīts, ka izglītības iestādēs īsteno arī speciālās izglītības programmas. Ja izglītības iestādē tiek īstenotas speciālās izglītības programmas, tad norādītā atbalsta personāla pieejamība ir obligāta. Vispārējās vidējās izglītības iestādēm norādīts minimālais padziļināto kursu komplektu skaits, kas izglītības iestādei būtu jāīsteno, nodrošinot jaunā mācību satura ieviešanu.</w:t>
      </w:r>
    </w:p>
    <w:p w:rsidR="00BC7777" w:rsidRPr="00BC7777" w:rsidRDefault="00BC7777" w:rsidP="002F762A">
      <w:r w:rsidRPr="00BC7777">
        <w:lastRenderedPageBreak/>
        <w:t>Kā izglītības iestāžu darbības kvalitāti raksturojošs rādītājs pamatskolām un sākumskolām iekļauts parametrs par vispārējās izglītības iestāžu un vispārējās izglītības programmu akreditāciju, nosakot, ka vispārējās izglītības programmu akreditācijā ne vairāk kā divi vērtēšanas kritēriji ir novērtēti ar kvalitātes vērtējuma līmeni "jāpilnveido" (II līmenis)</w:t>
      </w:r>
      <w:r>
        <w:rPr>
          <w:rStyle w:val="FootnoteReference"/>
          <w:szCs w:val="24"/>
        </w:rPr>
        <w:footnoteReference w:id="23"/>
      </w:r>
      <w:r w:rsidRPr="00BC7777">
        <w:t>. Vidusskolām kā kvalitātes kritērijs noteikta arī atbilstība 12.</w:t>
      </w:r>
      <w:r w:rsidR="00030956">
        <w:t> </w:t>
      </w:r>
      <w:r w:rsidRPr="00BC7777">
        <w:t>klases izglītojamo kārtoto obligāto centralizēto eksāmenu rezultātu indeksam</w:t>
      </w:r>
      <w:r>
        <w:rPr>
          <w:rStyle w:val="FootnoteReference"/>
          <w:szCs w:val="24"/>
        </w:rPr>
        <w:footnoteReference w:id="24"/>
      </w:r>
      <w:r w:rsidR="00F60A08">
        <w:t>.</w:t>
      </w:r>
    </w:p>
    <w:p w:rsidR="00BC7777" w:rsidRPr="00BC7777" w:rsidRDefault="00BC7777" w:rsidP="00C160AD">
      <w:pPr>
        <w:spacing w:after="0"/>
      </w:pPr>
      <w:r w:rsidRPr="00BC7777">
        <w:t xml:space="preserve">Pašvaldība, plānojot tās vispārējās izglītības iestāžu tīkla attīstību, veic izglītības iestāžu izvērtējumu atbilstoši </w:t>
      </w:r>
      <w:r w:rsidR="00AD3BA5" w:rsidRPr="0052348F">
        <w:t>5</w:t>
      </w:r>
      <w:r w:rsidRPr="0052348F">
        <w:t>.</w:t>
      </w:r>
      <w:r w:rsidR="00B1153B" w:rsidRPr="0052348F">
        <w:t>pielikumā</w:t>
      </w:r>
      <w:r w:rsidRPr="00BC7777">
        <w:t xml:space="preserve"> noteiktajiem kritērijiem, kā arī izvērtējot:</w:t>
      </w:r>
    </w:p>
    <w:p w:rsidR="00BC7777" w:rsidRPr="00BC7777" w:rsidRDefault="00030956" w:rsidP="00C160AD">
      <w:pPr>
        <w:spacing w:after="0"/>
      </w:pPr>
      <w:r>
        <w:t>– </w:t>
      </w:r>
      <w:r w:rsidR="00BC7777" w:rsidRPr="00BC7777">
        <w:t>demogrāfiskos rādītājus un tendences pašvaldībā un administratīvajā teritorijā, kurā atrodas izglītības iestāde;</w:t>
      </w:r>
    </w:p>
    <w:p w:rsidR="00BC7777" w:rsidRPr="00BC7777" w:rsidRDefault="00030956" w:rsidP="00C160AD">
      <w:pPr>
        <w:spacing w:after="0"/>
      </w:pPr>
      <w:r>
        <w:t>– </w:t>
      </w:r>
      <w:r w:rsidR="00BC7777" w:rsidRPr="00BC7777">
        <w:t>izglītojamo plūsmas tendences (izglītojamo</w:t>
      </w:r>
      <w:r w:rsidR="004F457A">
        <w:t xml:space="preserve"> </w:t>
      </w:r>
      <w:r w:rsidR="00BC7777" w:rsidRPr="00BC7777">
        <w:t>/</w:t>
      </w:r>
      <w:r w:rsidR="004F457A">
        <w:t xml:space="preserve"> </w:t>
      </w:r>
      <w:r w:rsidR="00BC7777" w:rsidRPr="00BC7777">
        <w:t>izglītojamo vecāku izvēlētās izglītības iestādes);</w:t>
      </w:r>
    </w:p>
    <w:p w:rsidR="00BC7777" w:rsidRPr="00BC7777" w:rsidRDefault="00030956" w:rsidP="00C160AD">
      <w:pPr>
        <w:spacing w:after="0"/>
      </w:pPr>
      <w:r>
        <w:t>– </w:t>
      </w:r>
      <w:r w:rsidR="00BC7777" w:rsidRPr="00BC7777">
        <w:t>transporta nodrošinājums nokļūšanai izglītības iestādēs (ceļu stāvoklis, attālums līdz citām izglītības iestādēm).</w:t>
      </w:r>
    </w:p>
    <w:p w:rsidR="00BC7777" w:rsidRPr="00BC7777" w:rsidRDefault="00BC7777" w:rsidP="002F762A">
      <w:r w:rsidRPr="00BC7777">
        <w:t xml:space="preserve">Ņemot vērā, ka izglītības iestādes darbojas telpu kapacitātēs ziņā atšķirīgās ēkās, pašvaldība, veicot minēto izvērtējumu, attiecībā uz sākumskolām un pamatskolām analizē izglītības iestādes rādītājus par kopējo telpu platību uz vienu izglītojamo, uzturēšanas izmaksām uz vienu izglītojamo, kā arī izglītojamo un skolotāju skaita proporciju. Gadījumā, ja izglītojamo skaits sākumskolā vai pamatskolā mazāks par </w:t>
      </w:r>
      <w:r w:rsidR="00AD3BA5" w:rsidRPr="0052348F">
        <w:t>5</w:t>
      </w:r>
      <w:r w:rsidR="00B1153B" w:rsidRPr="0052348F">
        <w:t>.pielikumā</w:t>
      </w:r>
      <w:r w:rsidR="00B1153B">
        <w:t xml:space="preserve"> </w:t>
      </w:r>
      <w:r w:rsidRPr="00BC7777">
        <w:t>noteikto optimālo izglītojamo skaitu, taču</w:t>
      </w:r>
      <w:r w:rsidR="00030956">
        <w:t>, ja attiecībā uz telpu platību un izglītojamo un skolotāju proporciju</w:t>
      </w:r>
      <w:r w:rsidRPr="00BC7777">
        <w:t xml:space="preserve"> izglītības iestādes rezultāti atbilst attiecīgajam teritoriālajam iedalījumam aprēķinātajiem vai piemērotajām optimālajām mērķa vērtībām, </w:t>
      </w:r>
      <w:r w:rsidR="00AD3BA5" w:rsidRPr="0052348F">
        <w:t>5</w:t>
      </w:r>
      <w:r w:rsidR="00B1153B" w:rsidRPr="0052348F">
        <w:t>.pielikumā</w:t>
      </w:r>
      <w:r w:rsidRPr="00BC7777">
        <w:t xml:space="preserve"> minētais izglītojamo skaits var nebūt noteicošais, lemjot par izglītības iestādes tālāko darbību.</w:t>
      </w:r>
    </w:p>
    <w:p w:rsidR="00BC7777" w:rsidRPr="00BC7777" w:rsidRDefault="00BC7777" w:rsidP="00C160AD">
      <w:pPr>
        <w:spacing w:after="0"/>
      </w:pPr>
      <w:r w:rsidRPr="00BC7777">
        <w:t>Ja pašvaldība veiktajā izglītības iestādes izvērtējumā konstatē, ka izglītības iestāde vairākos rādītājos ir ievērojami zemāki nekā optimālie rādītāji (piemēram, izglītojamo</w:t>
      </w:r>
      <w:r w:rsidR="004F457A">
        <w:t xml:space="preserve"> </w:t>
      </w:r>
      <w:r w:rsidRPr="00BC7777">
        <w:t>/</w:t>
      </w:r>
      <w:r w:rsidR="004F457A">
        <w:t xml:space="preserve"> </w:t>
      </w:r>
      <w:r w:rsidRPr="00BC7777">
        <w:t>skolotāju proporcija) vai ievērojami pārsniedz optimālos rādītājus (piemēram, kopējās telpas uz vienu izglītojamo), demogrāfiskie rādītāji liecina par izglītojamo skaita samazināšanos, izglītojamo plūsmas tendences uzrāda, ka lielākā daļā administratīvajā teritorijā dzīvojošo izglītojamo izvēlas citas izglītības iestādes, pašvaldība izvērtē iespējamos risinājumus izmaiņām izglītības iestāžu tīklā, pieņemot attiecīgo lēmumu par:</w:t>
      </w:r>
    </w:p>
    <w:p w:rsidR="00BC7777" w:rsidRPr="00BC7777" w:rsidRDefault="00030956" w:rsidP="00C160AD">
      <w:pPr>
        <w:spacing w:after="0"/>
      </w:pPr>
      <w:r>
        <w:t>– </w:t>
      </w:r>
      <w:r w:rsidR="00BC7777" w:rsidRPr="00BC7777">
        <w:t xml:space="preserve">izglītības iestādē īstenotās pakāpes maiņu vai izglītības iestāžu reorganizācija tās apvienojot un veidojot jaunu izglītības iestādi  </w:t>
      </w:r>
      <w:r>
        <w:t>–</w:t>
      </w:r>
      <w:r w:rsidR="00BC7777" w:rsidRPr="00BC7777">
        <w:t xml:space="preserve"> tādējādi nodrošinot vispārējās izglītības iestādes atbilstību </w:t>
      </w:r>
      <w:r w:rsidR="00AD3BA5" w:rsidRPr="0052348F">
        <w:t>5</w:t>
      </w:r>
      <w:r w:rsidR="00BC7777" w:rsidRPr="0052348F">
        <w:t>.</w:t>
      </w:r>
      <w:r w:rsidR="00B1153B" w:rsidRPr="0052348F">
        <w:t>pielikumā</w:t>
      </w:r>
      <w:r w:rsidR="00BC7777" w:rsidRPr="00BC7777">
        <w:t xml:space="preserve"> minētajiem rādītājiem;</w:t>
      </w:r>
    </w:p>
    <w:p w:rsidR="00BC7777" w:rsidRDefault="00030956" w:rsidP="00C160AD">
      <w:pPr>
        <w:spacing w:after="0"/>
      </w:pPr>
      <w:r>
        <w:lastRenderedPageBreak/>
        <w:t>– </w:t>
      </w:r>
      <w:r w:rsidR="00BC7777" w:rsidRPr="00BC7777">
        <w:t xml:space="preserve">izglītības iestādes likvidāciju (t.sk. likvidācija, pievienojot citai izglītības iestādei, kā rezultātā pievienojamā iestāde beidz pastāvēt) – sekmējot citu pašvaldības izglītības iestāžu atbilstību </w:t>
      </w:r>
      <w:bookmarkStart w:id="12" w:name="_GoBack"/>
      <w:bookmarkEnd w:id="12"/>
      <w:r w:rsidR="00AD3BA5" w:rsidRPr="0052348F">
        <w:t>5</w:t>
      </w:r>
      <w:r w:rsidR="00BC7777" w:rsidRPr="0052348F">
        <w:t>.</w:t>
      </w:r>
      <w:r w:rsidR="00B1153B" w:rsidRPr="0052348F">
        <w:t>pielikumā</w:t>
      </w:r>
      <w:r w:rsidR="00BC7777" w:rsidRPr="00BC7777">
        <w:t xml:space="preserve"> minētajiem rādītājiem.</w:t>
      </w:r>
    </w:p>
    <w:p w:rsidR="00C95D8F" w:rsidRDefault="00C95D8F" w:rsidP="00C160AD">
      <w:pPr>
        <w:spacing w:after="0"/>
        <w:ind w:firstLine="0"/>
        <w:rPr>
          <w:szCs w:val="24"/>
        </w:rPr>
      </w:pPr>
    </w:p>
    <w:p w:rsidR="00C95D8F" w:rsidRDefault="00C95D8F" w:rsidP="00F45541">
      <w:pPr>
        <w:pStyle w:val="Heading1"/>
      </w:pPr>
      <w:bookmarkStart w:id="13" w:name="_Toc81299626"/>
      <w:r w:rsidRPr="003372F9">
        <w:t>Turpmākā rīcība</w:t>
      </w:r>
      <w:bookmarkEnd w:id="13"/>
    </w:p>
    <w:p w:rsidR="007E039A" w:rsidRDefault="007E039A" w:rsidP="007E039A"/>
    <w:p w:rsidR="007E039A" w:rsidRDefault="007E039A" w:rsidP="007E039A">
      <w:r>
        <w:t>Valsts finansējuma pedagogu darba samaksai aprēķina modelim, kas tiktu atbalstīts Ministru kabinetā,  ministrija</w:t>
      </w:r>
      <w:r w:rsidR="00C160AD">
        <w:t>i</w:t>
      </w:r>
      <w:r>
        <w:t>:</w:t>
      </w:r>
    </w:p>
    <w:p w:rsidR="007E039A" w:rsidRDefault="007E039A" w:rsidP="00A0536E">
      <w:pPr>
        <w:pStyle w:val="ListParagraph"/>
        <w:numPr>
          <w:ilvl w:val="0"/>
          <w:numId w:val="7"/>
        </w:numPr>
      </w:pPr>
      <w:r>
        <w:t xml:space="preserve">Līdz </w:t>
      </w:r>
      <w:r w:rsidR="00B971EA">
        <w:t>10.09</w:t>
      </w:r>
      <w:r>
        <w:t xml:space="preserve">.2021. precizēt modeļa aprēķinus un iesniegt Finanšu ministrijai precizētu pieteikumu </w:t>
      </w:r>
      <w:r w:rsidRPr="007E039A">
        <w:t>prioritārajiem pasākumiem</w:t>
      </w:r>
      <w:r>
        <w:t>;</w:t>
      </w:r>
    </w:p>
    <w:p w:rsidR="007E039A" w:rsidRDefault="007E039A" w:rsidP="00A0536E">
      <w:pPr>
        <w:pStyle w:val="ListParagraph"/>
        <w:numPr>
          <w:ilvl w:val="0"/>
          <w:numId w:val="7"/>
        </w:numPr>
      </w:pPr>
      <w:r>
        <w:t>Līdz 30.10.21. nodrošināt valsts mērķdotācijas aprēķina modeļa izvērtēšanu, piesaistot auditoru kompānijas</w:t>
      </w:r>
      <w:r w:rsidR="00A809E4">
        <w:t xml:space="preserve"> ekspertus</w:t>
      </w:r>
      <w:r>
        <w:t>;</w:t>
      </w:r>
    </w:p>
    <w:p w:rsidR="00C160AD" w:rsidRDefault="00C160AD" w:rsidP="00A0536E">
      <w:pPr>
        <w:pStyle w:val="ListParagraph"/>
        <w:numPr>
          <w:ilvl w:val="0"/>
          <w:numId w:val="7"/>
        </w:numPr>
      </w:pPr>
      <w:r>
        <w:t>Iesaistīt pašvaldības modeļa aprobāc</w:t>
      </w:r>
      <w:r w:rsidR="00A809E4">
        <w:t>i</w:t>
      </w:r>
      <w:r>
        <w:t>jā;</w:t>
      </w:r>
    </w:p>
    <w:p w:rsidR="007E039A" w:rsidRDefault="007E039A" w:rsidP="00B971EA">
      <w:pPr>
        <w:pStyle w:val="ListParagraph"/>
        <w:numPr>
          <w:ilvl w:val="0"/>
          <w:numId w:val="7"/>
        </w:numPr>
      </w:pPr>
      <w:r>
        <w:t>Līdz 01.03.2022. sagatavot grozījumus Ministru kabineta 2016. gada 5.jūlija noteikumos Nr. 445 "Pedago</w:t>
      </w:r>
      <w:r w:rsidR="00B971EA">
        <w:t xml:space="preserve">gu darba samaksas noteikumi", </w:t>
      </w:r>
      <w:r>
        <w:t>Ministru kabineta 2016. gada 5. jūlija noteikumos Nr. 447 "Par valsts budžeta mērķdotāciju pedagogu darba samaksai pašvaldību vispārējās izglītības iestādēs un valsts augstskolu vispārējās v</w:t>
      </w:r>
      <w:r w:rsidR="00B971EA">
        <w:t xml:space="preserve">idējās izglītības iestādēs" un Ministru kabineta </w:t>
      </w:r>
      <w:r w:rsidR="00B971EA" w:rsidRPr="00B971EA">
        <w:t>2020. gad</w:t>
      </w:r>
      <w:r w:rsidR="00B971EA">
        <w:t xml:space="preserve">a 25. augusta noteikumos Nr. 538 </w:t>
      </w:r>
      <w:r w:rsidR="00B971EA" w:rsidRPr="00B971EA">
        <w:t>"</w:t>
      </w:r>
      <w:r w:rsidR="00B971EA">
        <w:t>Kārtība, kādā valsts finansē darba samaksu pedagogiem privātajās izglītības iestādēs</w:t>
      </w:r>
      <w:r w:rsidR="00A809E4">
        <w:t>"</w:t>
      </w:r>
      <w:r w:rsidR="00B971EA">
        <w:t xml:space="preserve"> un iesniegt Ministru kabinetā.</w:t>
      </w:r>
    </w:p>
    <w:p w:rsidR="00F807CD" w:rsidRDefault="00F807CD" w:rsidP="00F807CD"/>
    <w:p w:rsidR="00B82E2E" w:rsidRDefault="00B82E2E" w:rsidP="00B82E2E">
      <w:r>
        <w:t>Izglītības un zinātnes ministre</w:t>
      </w:r>
      <w:r>
        <w:tab/>
      </w:r>
      <w:r>
        <w:tab/>
      </w:r>
      <w:r>
        <w:tab/>
      </w:r>
      <w:r>
        <w:tab/>
        <w:t xml:space="preserve">   </w:t>
      </w:r>
      <w:r>
        <w:tab/>
        <w:t>Anita Muižniece</w:t>
      </w:r>
    </w:p>
    <w:p w:rsidR="00B82E2E" w:rsidRDefault="00B82E2E" w:rsidP="00D414AC">
      <w:pPr>
        <w:ind w:firstLine="0"/>
      </w:pPr>
    </w:p>
    <w:p w:rsidR="00B82E2E" w:rsidRDefault="00B82E2E" w:rsidP="00B82E2E">
      <w:r>
        <w:t>Vizē:</w:t>
      </w:r>
    </w:p>
    <w:p w:rsidR="00F807CD" w:rsidRPr="007E039A" w:rsidRDefault="00B82E2E" w:rsidP="00B82E2E">
      <w:r>
        <w:t>Valsts sekretārs</w:t>
      </w:r>
      <w:r>
        <w:tab/>
      </w:r>
      <w:r>
        <w:tab/>
      </w:r>
      <w:r>
        <w:tab/>
      </w:r>
      <w:r>
        <w:tab/>
      </w:r>
      <w:r>
        <w:tab/>
      </w:r>
      <w:r>
        <w:tab/>
      </w:r>
      <w:r>
        <w:tab/>
        <w:t>.............................</w:t>
      </w:r>
    </w:p>
    <w:p w:rsidR="003372F9" w:rsidRPr="003372F9" w:rsidRDefault="003372F9" w:rsidP="003372F9">
      <w:pPr>
        <w:ind w:firstLine="0"/>
        <w:jc w:val="left"/>
        <w:rPr>
          <w:b/>
          <w:sz w:val="28"/>
          <w:szCs w:val="28"/>
        </w:rPr>
      </w:pPr>
    </w:p>
    <w:p w:rsidR="00925777" w:rsidRDefault="00925777" w:rsidP="00C160AD">
      <w:pPr>
        <w:spacing w:after="0"/>
        <w:ind w:firstLine="0"/>
        <w:rPr>
          <w:szCs w:val="24"/>
        </w:rPr>
      </w:pPr>
    </w:p>
    <w:p w:rsidR="00A809E4" w:rsidRDefault="00A809E4" w:rsidP="00C160AD">
      <w:pPr>
        <w:spacing w:after="0"/>
        <w:ind w:firstLine="0"/>
        <w:rPr>
          <w:szCs w:val="24"/>
        </w:rPr>
      </w:pPr>
    </w:p>
    <w:p w:rsidR="00A809E4" w:rsidRDefault="00A809E4" w:rsidP="00C160AD">
      <w:pPr>
        <w:spacing w:after="0"/>
        <w:ind w:firstLine="0"/>
        <w:rPr>
          <w:szCs w:val="24"/>
        </w:rPr>
      </w:pPr>
    </w:p>
    <w:p w:rsidR="00A809E4" w:rsidRDefault="00A809E4" w:rsidP="00C160AD">
      <w:pPr>
        <w:spacing w:after="0"/>
        <w:ind w:firstLine="0"/>
        <w:rPr>
          <w:szCs w:val="24"/>
        </w:rPr>
      </w:pPr>
    </w:p>
    <w:p w:rsidR="00A809E4" w:rsidRDefault="00A809E4" w:rsidP="00C160AD">
      <w:pPr>
        <w:spacing w:after="0"/>
        <w:ind w:firstLine="0"/>
        <w:rPr>
          <w:szCs w:val="24"/>
        </w:rPr>
      </w:pPr>
    </w:p>
    <w:p w:rsidR="00A809E4" w:rsidRDefault="00A809E4" w:rsidP="00C160AD">
      <w:pPr>
        <w:spacing w:after="0"/>
        <w:ind w:firstLine="0"/>
        <w:rPr>
          <w:i/>
          <w:sz w:val="20"/>
          <w:szCs w:val="24"/>
        </w:rPr>
      </w:pPr>
      <w:r w:rsidRPr="00A809E4">
        <w:rPr>
          <w:i/>
          <w:sz w:val="20"/>
          <w:szCs w:val="24"/>
        </w:rPr>
        <w:t>Modra Jansone</w:t>
      </w:r>
    </w:p>
    <w:p w:rsidR="00A809E4" w:rsidRPr="00A809E4" w:rsidRDefault="00A809E4" w:rsidP="00C160AD">
      <w:pPr>
        <w:spacing w:after="0"/>
        <w:ind w:firstLine="0"/>
        <w:rPr>
          <w:i/>
          <w:sz w:val="20"/>
          <w:szCs w:val="24"/>
        </w:rPr>
      </w:pPr>
      <w:r>
        <w:rPr>
          <w:i/>
          <w:sz w:val="20"/>
          <w:szCs w:val="24"/>
        </w:rPr>
        <w:t>modra.jansone@izm.gov.lv</w:t>
      </w:r>
    </w:p>
    <w:sectPr w:rsidR="00A809E4" w:rsidRPr="00A809E4" w:rsidSect="00F45541">
      <w:footerReference w:type="default" r:id="rId14"/>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F0C" w:rsidRDefault="003F4F0C" w:rsidP="002C6EE9">
      <w:pPr>
        <w:spacing w:after="0" w:line="240" w:lineRule="auto"/>
      </w:pPr>
      <w:r>
        <w:separator/>
      </w:r>
    </w:p>
  </w:endnote>
  <w:endnote w:type="continuationSeparator" w:id="0">
    <w:p w:rsidR="003F4F0C" w:rsidRDefault="003F4F0C" w:rsidP="002C6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325420"/>
      <w:docPartObj>
        <w:docPartGallery w:val="Page Numbers (Bottom of Page)"/>
        <w:docPartUnique/>
      </w:docPartObj>
    </w:sdtPr>
    <w:sdtEndPr>
      <w:rPr>
        <w:rFonts w:cs="Times New Roman"/>
        <w:noProof/>
      </w:rPr>
    </w:sdtEndPr>
    <w:sdtContent>
      <w:p w:rsidR="00A21E09" w:rsidRPr="00F601DF" w:rsidRDefault="00A21E09">
        <w:pPr>
          <w:pStyle w:val="Footer"/>
          <w:jc w:val="right"/>
          <w:rPr>
            <w:rFonts w:cs="Times New Roman"/>
          </w:rPr>
        </w:pPr>
        <w:r w:rsidRPr="00F601DF">
          <w:rPr>
            <w:rFonts w:cs="Times New Roman"/>
          </w:rPr>
          <w:fldChar w:fldCharType="begin"/>
        </w:r>
        <w:r w:rsidRPr="00F601DF">
          <w:rPr>
            <w:rFonts w:cs="Times New Roman"/>
          </w:rPr>
          <w:instrText xml:space="preserve"> PAGE   \* MERGEFORMAT </w:instrText>
        </w:r>
        <w:r w:rsidRPr="00F601DF">
          <w:rPr>
            <w:rFonts w:cs="Times New Roman"/>
          </w:rPr>
          <w:fldChar w:fldCharType="separate"/>
        </w:r>
        <w:r w:rsidR="0052348F">
          <w:rPr>
            <w:rFonts w:cs="Times New Roman"/>
            <w:noProof/>
          </w:rPr>
          <w:t>21</w:t>
        </w:r>
        <w:r w:rsidRPr="00F601DF">
          <w:rPr>
            <w:rFonts w:cs="Times New Roman"/>
            <w:noProof/>
          </w:rPr>
          <w:fldChar w:fldCharType="end"/>
        </w:r>
      </w:p>
    </w:sdtContent>
  </w:sdt>
  <w:p w:rsidR="00A21E09" w:rsidRPr="00F601DF" w:rsidRDefault="00A21E09" w:rsidP="00935FDA">
    <w:pPr>
      <w:pStyle w:val="Footer"/>
      <w:ind w:firstLine="0"/>
      <w:rPr>
        <w:rFonts w:cs="Times New Roman"/>
      </w:rPr>
    </w:pPr>
    <w:r w:rsidRPr="00F601DF">
      <w:rPr>
        <w:rFonts w:cs="Times New Roman"/>
      </w:rPr>
      <w:fldChar w:fldCharType="begin"/>
    </w:r>
    <w:r w:rsidRPr="00F601DF">
      <w:rPr>
        <w:rFonts w:cs="Times New Roman"/>
      </w:rPr>
      <w:instrText xml:space="preserve"> FILENAME \* MERGEFORMAT </w:instrText>
    </w:r>
    <w:r w:rsidRPr="00F601DF">
      <w:rPr>
        <w:rFonts w:cs="Times New Roman"/>
      </w:rPr>
      <w:fldChar w:fldCharType="separate"/>
    </w:r>
    <w:r>
      <w:rPr>
        <w:rFonts w:cs="Times New Roman"/>
        <w:noProof/>
      </w:rPr>
      <w:t>IZMInfoz_020921</w:t>
    </w:r>
    <w:r w:rsidRPr="00F601DF">
      <w:rPr>
        <w:rFonts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F0C" w:rsidRDefault="003F4F0C" w:rsidP="002C6EE9">
      <w:pPr>
        <w:spacing w:after="0" w:line="240" w:lineRule="auto"/>
      </w:pPr>
      <w:r>
        <w:separator/>
      </w:r>
    </w:p>
  </w:footnote>
  <w:footnote w:type="continuationSeparator" w:id="0">
    <w:p w:rsidR="003F4F0C" w:rsidRDefault="003F4F0C" w:rsidP="002C6EE9">
      <w:pPr>
        <w:spacing w:after="0" w:line="240" w:lineRule="auto"/>
      </w:pPr>
      <w:r>
        <w:continuationSeparator/>
      </w:r>
    </w:p>
  </w:footnote>
  <w:footnote w:id="1">
    <w:p w:rsidR="00A21E09" w:rsidRPr="00A6685E" w:rsidRDefault="00A21E09" w:rsidP="00AE581A">
      <w:pPr>
        <w:pStyle w:val="FootnoteText"/>
        <w:jc w:val="left"/>
        <w:rPr>
          <w:rFonts w:cs="Times New Roman"/>
        </w:rPr>
      </w:pPr>
      <w:r w:rsidRPr="00A6685E">
        <w:rPr>
          <w:rStyle w:val="FootnoteReference"/>
          <w:rFonts w:cs="Times New Roman"/>
        </w:rPr>
        <w:footnoteRef/>
      </w:r>
      <w:r w:rsidRPr="00A6685E">
        <w:rPr>
          <w:rFonts w:cs="Times New Roman"/>
        </w:rPr>
        <w:t xml:space="preserve"> </w:t>
      </w:r>
      <w:r>
        <w:rPr>
          <w:rFonts w:cs="Times New Roman"/>
        </w:rPr>
        <w:t>IZM informatīvais ziņojums "</w:t>
      </w:r>
      <w:r w:rsidRPr="00947AF9">
        <w:rPr>
          <w:rFonts w:cs="Times New Roman"/>
        </w:rPr>
        <w:t>Par kvalitatīvas vispārējās vidējās izglītības nodrošināšanas priekšnosacījumiem</w:t>
      </w:r>
      <w:r>
        <w:rPr>
          <w:rFonts w:cs="Times New Roman"/>
        </w:rPr>
        <w:t>" pieejams šeit</w:t>
      </w:r>
      <w:r w:rsidRPr="00A6685E">
        <w:rPr>
          <w:rFonts w:cs="Times New Roman"/>
        </w:rPr>
        <w:t>: http://tap.mk.gov.lv/lv/mk/tap/?pid=40489636&amp;mode=mk&amp;date=2020-10-20</w:t>
      </w:r>
    </w:p>
  </w:footnote>
  <w:footnote w:id="2">
    <w:p w:rsidR="00A21E09" w:rsidRDefault="00A21E09">
      <w:pPr>
        <w:pStyle w:val="FootnoteText"/>
      </w:pPr>
      <w:r w:rsidRPr="00A6685E">
        <w:rPr>
          <w:rStyle w:val="FootnoteReference"/>
          <w:rFonts w:cs="Times New Roman"/>
        </w:rPr>
        <w:footnoteRef/>
      </w:r>
      <w:r w:rsidRPr="00A6685E">
        <w:rPr>
          <w:rFonts w:cs="Times New Roman"/>
        </w:rPr>
        <w:t xml:space="preserve"> Darba grupas materiāli pieejami šeit: https://www.izm.gov.lv/lv/pedagogu-darba-samaksas-pilnveides-darba-grupas-sanaksmju-materiali</w:t>
      </w:r>
    </w:p>
  </w:footnote>
  <w:footnote w:id="3">
    <w:p w:rsidR="00A21E09" w:rsidRPr="00F65102" w:rsidRDefault="00A21E09" w:rsidP="00860F9A">
      <w:pPr>
        <w:pStyle w:val="FootnoteText"/>
        <w:rPr>
          <w:rFonts w:cs="Times New Roman"/>
        </w:rPr>
      </w:pPr>
      <w:r w:rsidRPr="005C00B3">
        <w:rPr>
          <w:rStyle w:val="FootnoteReference"/>
          <w:rFonts w:cs="Times New Roman"/>
        </w:rPr>
        <w:footnoteRef/>
      </w:r>
      <w:r w:rsidRPr="005C00B3">
        <w:rPr>
          <w:rFonts w:cs="Times New Roman"/>
        </w:rPr>
        <w:t xml:space="preserve"> M</w:t>
      </w:r>
      <w:r>
        <w:rPr>
          <w:rFonts w:cs="Times New Roman"/>
        </w:rPr>
        <w:t>inistru kabineta 2016. gada 5. j</w:t>
      </w:r>
      <w:r w:rsidRPr="005C00B3">
        <w:rPr>
          <w:rFonts w:cs="Times New Roman"/>
        </w:rPr>
        <w:t xml:space="preserve">ūlija noteikumi Nr. 447 </w:t>
      </w:r>
      <w:r>
        <w:rPr>
          <w:rFonts w:cs="Times New Roman"/>
        </w:rPr>
        <w:t>"</w:t>
      </w:r>
      <w:r w:rsidRPr="005C00B3">
        <w:rPr>
          <w:rFonts w:cs="Times New Roman"/>
        </w:rPr>
        <w:t>Par valsts budžeta mērķdotāciju pedagogu darba samaksai pašvaldību vispārējās izglītības iestādēs un valsts augstskolu vispārējās vidējās izglītības iestādēs</w:t>
      </w:r>
      <w:r>
        <w:rPr>
          <w:rFonts w:cs="Times New Roman"/>
        </w:rPr>
        <w:t>"</w:t>
      </w:r>
      <w:r w:rsidRPr="005C00B3">
        <w:rPr>
          <w:rFonts w:cs="Times New Roman"/>
        </w:rPr>
        <w:t xml:space="preserve"> </w:t>
      </w:r>
      <w:r>
        <w:rPr>
          <w:rFonts w:cs="Times New Roman"/>
        </w:rPr>
        <w:t>pieejami šeit</w:t>
      </w:r>
      <w:r w:rsidRPr="005C00B3">
        <w:rPr>
          <w:rFonts w:cs="Times New Roman"/>
        </w:rPr>
        <w:t>: https://likumi.lv/ta/id/283668-par-valsts-budzeta-merkdotaciju-pedagogu-darba-samaksai-pasvaldibu-visparejas-izglitiba</w:t>
      </w:r>
      <w:r>
        <w:rPr>
          <w:rFonts w:cs="Times New Roman"/>
        </w:rPr>
        <w:t>s-iestades-un-valsts-augstskolu</w:t>
      </w:r>
    </w:p>
  </w:footnote>
  <w:footnote w:id="4">
    <w:p w:rsidR="00A21E09" w:rsidRPr="0051399E" w:rsidRDefault="00A21E09">
      <w:pPr>
        <w:pStyle w:val="FootnoteText"/>
      </w:pPr>
      <w:r>
        <w:rPr>
          <w:rStyle w:val="FootnoteReference"/>
        </w:rPr>
        <w:footnoteRef/>
      </w:r>
      <w:r>
        <w:t xml:space="preserve"> </w:t>
      </w:r>
      <w:r w:rsidRPr="00600763">
        <w:rPr>
          <w:rFonts w:cs="Times New Roman"/>
        </w:rPr>
        <w:t xml:space="preserve">Ministru kabineta 2016. gada 5. jūlija noteikumu Nr. 445 </w:t>
      </w:r>
      <w:r>
        <w:rPr>
          <w:rFonts w:cs="Times New Roman"/>
        </w:rPr>
        <w:t>"</w:t>
      </w:r>
      <w:r w:rsidRPr="00600763">
        <w:rPr>
          <w:rFonts w:cs="Times New Roman"/>
        </w:rPr>
        <w:t>Pedagogu darba samaksas noteikumi</w:t>
      </w:r>
      <w:r>
        <w:rPr>
          <w:rFonts w:cs="Times New Roman"/>
        </w:rPr>
        <w:t>"</w:t>
      </w:r>
      <w:r w:rsidRPr="00600763">
        <w:rPr>
          <w:rFonts w:cs="Times New Roman"/>
        </w:rPr>
        <w:t xml:space="preserve">  32. punkts </w:t>
      </w:r>
      <w:r>
        <w:rPr>
          <w:rFonts w:cs="Times New Roman"/>
        </w:rPr>
        <w:t>p</w:t>
      </w:r>
      <w:r w:rsidRPr="00600763">
        <w:rPr>
          <w:rFonts w:cs="Times New Roman"/>
        </w:rPr>
        <w:t>ieejams</w:t>
      </w:r>
      <w:r>
        <w:rPr>
          <w:rFonts w:cs="Times New Roman"/>
        </w:rPr>
        <w:t xml:space="preserve"> šeit</w:t>
      </w:r>
      <w:r w:rsidRPr="00600763">
        <w:rPr>
          <w:rFonts w:cs="Times New Roman"/>
        </w:rPr>
        <w:t xml:space="preserve">: </w:t>
      </w:r>
      <w:r w:rsidRPr="0051399E">
        <w:rPr>
          <w:rFonts w:cs="Times New Roman"/>
        </w:rPr>
        <w:t>https://likumi.lv/ta/id/283667-pedagogu-darba-samaksas-noteikumi</w:t>
      </w:r>
    </w:p>
  </w:footnote>
  <w:footnote w:id="5">
    <w:p w:rsidR="00A21E09" w:rsidRPr="0051399E" w:rsidRDefault="00A21E09" w:rsidP="00AA5279">
      <w:pPr>
        <w:pStyle w:val="FootnoteText"/>
        <w:rPr>
          <w:rFonts w:cs="Times New Roman"/>
        </w:rPr>
      </w:pPr>
      <w:r w:rsidRPr="00947AF9">
        <w:rPr>
          <w:rStyle w:val="FootnoteReference"/>
          <w:rFonts w:cs="Times New Roman"/>
        </w:rPr>
        <w:footnoteRef/>
      </w:r>
      <w:r>
        <w:rPr>
          <w:rFonts w:cs="Times New Roman"/>
        </w:rPr>
        <w:t xml:space="preserve"> IZM informatīvais ziņojums "</w:t>
      </w:r>
      <w:r w:rsidRPr="00947AF9">
        <w:rPr>
          <w:rFonts w:cs="Times New Roman"/>
        </w:rPr>
        <w:t>Par kvalitatīvas vispārējās vidējās izglītības nodrošināšanas priekšnosacījumiem</w:t>
      </w:r>
      <w:r>
        <w:rPr>
          <w:rFonts w:cs="Times New Roman"/>
        </w:rPr>
        <w:t>"</w:t>
      </w:r>
      <w:r w:rsidRPr="00947AF9">
        <w:rPr>
          <w:rFonts w:cs="Times New Roman"/>
        </w:rPr>
        <w:t>, kurā ir izvērtētas skolu izmaksas, rādīti veidi, kā attālinātais mācību process var palīdzēt efektivizēt skolu tīklu un paaugstināt i</w:t>
      </w:r>
      <w:r>
        <w:rPr>
          <w:rFonts w:cs="Times New Roman"/>
        </w:rPr>
        <w:t>zglītības kvalitāti pieejams šeit:</w:t>
      </w:r>
      <w:r w:rsidRPr="00A6685E">
        <w:rPr>
          <w:rFonts w:cs="Times New Roman"/>
        </w:rPr>
        <w:t xml:space="preserve"> http://tap.mk.gov.lv/lv/mk/tap/?pid=40489636&amp;mode=mk&amp;</w:t>
      </w:r>
      <w:r>
        <w:rPr>
          <w:rFonts w:cs="Times New Roman"/>
        </w:rPr>
        <w:t>date=2020-10-20</w:t>
      </w:r>
    </w:p>
  </w:footnote>
  <w:footnote w:id="6">
    <w:p w:rsidR="00A21E09" w:rsidRPr="001E4ED4" w:rsidRDefault="00A21E09" w:rsidP="00021CFD">
      <w:pPr>
        <w:pStyle w:val="FootnoteText"/>
      </w:pPr>
      <w:r w:rsidRPr="006035E3">
        <w:rPr>
          <w:rStyle w:val="FootnoteReference"/>
          <w:rFonts w:cs="Times New Roman"/>
        </w:rPr>
        <w:footnoteRef/>
      </w:r>
      <w:r w:rsidRPr="006035E3">
        <w:rPr>
          <w:rFonts w:cs="Times New Roman"/>
        </w:rPr>
        <w:t xml:space="preserve"> Indikatīvais pedagogu darba samaksas pieauguma grafiks laikposmam no 2018. gada 1. septembra līdz 2022. gada 31. decembrim atbalstīts ar Ministru kabineta 2018. gada 15. janvāra rīkojumu Nr. 17 </w:t>
      </w:r>
      <w:r>
        <w:rPr>
          <w:rFonts w:cs="Times New Roman"/>
        </w:rPr>
        <w:t>"</w:t>
      </w:r>
      <w:r w:rsidRPr="006035E3">
        <w:rPr>
          <w:rFonts w:cs="Times New Roman"/>
        </w:rPr>
        <w:t>Par pedagogu darba samaksas pieauguma grafiku laikposmam no 2018. gada 1. septembr</w:t>
      </w:r>
      <w:r>
        <w:rPr>
          <w:rFonts w:cs="Times New Roman"/>
        </w:rPr>
        <w:t xml:space="preserve">a līdz 2022. gada 31. decembrim" pieejams šeit: </w:t>
      </w:r>
      <w:r w:rsidRPr="006E7235">
        <w:rPr>
          <w:rFonts w:cs="Times New Roman"/>
        </w:rPr>
        <w:t>https://likumi.lv/ta/id/296460-par-pedagogu-darba-samaksas-pieauguma-grafiku-laikposmam-no-2018-gada-1-septembra-lidz-2022-gada-31-decembrim</w:t>
      </w:r>
    </w:p>
  </w:footnote>
  <w:footnote w:id="7">
    <w:p w:rsidR="00A21E09" w:rsidRPr="00A71D9C" w:rsidRDefault="00A21E09" w:rsidP="00E96F20">
      <w:pPr>
        <w:pStyle w:val="FootnoteText"/>
        <w:jc w:val="left"/>
        <w:rPr>
          <w:rFonts w:cs="Times New Roman"/>
          <w:lang w:val="en-US"/>
        </w:rPr>
      </w:pPr>
      <w:r w:rsidRPr="00A71D9C">
        <w:rPr>
          <w:rStyle w:val="FootnoteReference"/>
          <w:rFonts w:cs="Times New Roman"/>
        </w:rPr>
        <w:footnoteRef/>
      </w:r>
      <w:r w:rsidRPr="00A71D9C">
        <w:rPr>
          <w:rFonts w:cs="Times New Roman"/>
        </w:rPr>
        <w:t xml:space="preserve"> OECD izglītības pārskati </w:t>
      </w:r>
      <w:r w:rsidRPr="00313DA7">
        <w:rPr>
          <w:rFonts w:cs="Times New Roman"/>
          <w:i/>
        </w:rPr>
        <w:t>Education at a Glance</w:t>
      </w:r>
      <w:r w:rsidRPr="00A71D9C">
        <w:rPr>
          <w:rFonts w:cs="Times New Roman"/>
        </w:rPr>
        <w:t xml:space="preserve"> 2018 un 2019, datu izlases par Latviju </w:t>
      </w:r>
      <w:r>
        <w:rPr>
          <w:rFonts w:cs="Times New Roman"/>
        </w:rPr>
        <w:t>p</w:t>
      </w:r>
      <w:r w:rsidRPr="00A71D9C">
        <w:rPr>
          <w:rFonts w:cs="Times New Roman"/>
        </w:rPr>
        <w:t>ieejami</w:t>
      </w:r>
      <w:r>
        <w:rPr>
          <w:rFonts w:cs="Times New Roman"/>
        </w:rPr>
        <w:t xml:space="preserve"> šeit:</w:t>
      </w:r>
      <w:r w:rsidRPr="00A71D9C">
        <w:rPr>
          <w:rFonts w:cs="Times New Roman"/>
        </w:rPr>
        <w:t xml:space="preserve"> </w:t>
      </w:r>
      <w:r w:rsidRPr="00F02C03">
        <w:rPr>
          <w:rFonts w:cs="Times New Roman"/>
        </w:rPr>
        <w:t>https://www.izm.gov.lv/sites/izm/files/eag2018_latvijas_datu_izlase1_0.pdf</w:t>
      </w:r>
      <w:r>
        <w:rPr>
          <w:rFonts w:cs="Times New Roman"/>
        </w:rPr>
        <w:t>;</w:t>
      </w:r>
      <w:r w:rsidRPr="00A71D9C">
        <w:rPr>
          <w:rFonts w:cs="Times New Roman"/>
        </w:rPr>
        <w:t xml:space="preserve">   </w:t>
      </w:r>
      <w:r w:rsidRPr="00F02C03">
        <w:rPr>
          <w:rFonts w:cs="Times New Roman"/>
        </w:rPr>
        <w:t>https://www.izm.gov.lv/sites/izm/files/eag2019_cn_lva_latvijas_datu_izlase1_1.pdf</w:t>
      </w:r>
      <w:r w:rsidRPr="00A71D9C">
        <w:rPr>
          <w:rFonts w:cs="Times New Roman"/>
        </w:rPr>
        <w:t xml:space="preserve"> </w:t>
      </w:r>
    </w:p>
  </w:footnote>
  <w:footnote w:id="8">
    <w:p w:rsidR="00A21E09" w:rsidRPr="00F02C03" w:rsidRDefault="00A21E09" w:rsidP="00E96F20">
      <w:pPr>
        <w:pStyle w:val="FootnoteText"/>
        <w:rPr>
          <w:rFonts w:cs="Times New Roman"/>
        </w:rPr>
      </w:pPr>
      <w:r w:rsidRPr="00A71D9C">
        <w:rPr>
          <w:rStyle w:val="FootnoteReference"/>
          <w:rFonts w:cs="Times New Roman"/>
        </w:rPr>
        <w:footnoteRef/>
      </w:r>
      <w:r w:rsidRPr="00A71D9C">
        <w:rPr>
          <w:rFonts w:cs="Times New Roman"/>
        </w:rPr>
        <w:t xml:space="preserve"> OECD izglītības pārskats Education at a Glance 2019, datu izlase par Latviju </w:t>
      </w:r>
      <w:r>
        <w:rPr>
          <w:rFonts w:cs="Times New Roman"/>
        </w:rPr>
        <w:t>p</w:t>
      </w:r>
      <w:r w:rsidRPr="00A71D9C">
        <w:rPr>
          <w:rFonts w:cs="Times New Roman"/>
        </w:rPr>
        <w:t>ieejams</w:t>
      </w:r>
      <w:r>
        <w:rPr>
          <w:rFonts w:cs="Times New Roman"/>
        </w:rPr>
        <w:t xml:space="preserve"> šeit</w:t>
      </w:r>
      <w:r w:rsidRPr="00A71D9C">
        <w:rPr>
          <w:rFonts w:cs="Times New Roman"/>
        </w:rPr>
        <w:t xml:space="preserve">: </w:t>
      </w:r>
      <w:r w:rsidRPr="00F02C03">
        <w:rPr>
          <w:rFonts w:cs="Times New Roman"/>
        </w:rPr>
        <w:t>https://www.izm.gov.lv/sites/izm/files/eag2019_cn_lva_latvijas_datu_izlase1_1.pdf</w:t>
      </w:r>
    </w:p>
  </w:footnote>
  <w:footnote w:id="9">
    <w:p w:rsidR="00A21E09" w:rsidRPr="00E96F20" w:rsidRDefault="00A21E09">
      <w:pPr>
        <w:pStyle w:val="FootnoteText"/>
        <w:rPr>
          <w:lang w:val="en-US"/>
        </w:rPr>
      </w:pPr>
      <w:r>
        <w:rPr>
          <w:rStyle w:val="FootnoteReference"/>
        </w:rPr>
        <w:footnoteRef/>
      </w:r>
      <w:r>
        <w:t xml:space="preserve"> </w:t>
      </w:r>
      <w:r w:rsidRPr="002D47FA">
        <w:t>Ratio of students to teaching staff in educational institutions, by level of education (2018). OECD Education at a Glance 2020 pieejams šeit: https://www.oecd-ilibrary.org/education/ratio-of-students-to-teaching-staff-in-educational-institutions-by-level-of-education-2018_dda3e8a8-en</w:t>
      </w:r>
    </w:p>
  </w:footnote>
  <w:footnote w:id="10">
    <w:p w:rsidR="00A21E09" w:rsidRPr="002D47FA" w:rsidRDefault="00A21E09" w:rsidP="002D47FA">
      <w:pPr>
        <w:pStyle w:val="FootnoteText"/>
        <w:jc w:val="left"/>
        <w:rPr>
          <w:lang w:val="en-US"/>
        </w:rPr>
      </w:pPr>
      <w:r>
        <w:rPr>
          <w:rStyle w:val="FootnoteReference"/>
        </w:rPr>
        <w:footnoteRef/>
      </w:r>
      <w:r>
        <w:t xml:space="preserve"> </w:t>
      </w:r>
      <w:r w:rsidRPr="002D47FA">
        <w:t>Eiropas Savienības Padomes 2019. gada 5. jūnija ieteikumi par Latvijas 2019. gada valsts reformu programmu pieejami šeit: https://eur-lex.europa.eu/legal-content/EN/TXT/?qid=1560258468841&amp;uri=CELEX%3A52019DC0514</w:t>
      </w:r>
    </w:p>
  </w:footnote>
  <w:footnote w:id="11">
    <w:p w:rsidR="00A21E09" w:rsidRPr="002D47FA" w:rsidRDefault="00A21E09">
      <w:pPr>
        <w:pStyle w:val="FootnoteText"/>
        <w:rPr>
          <w:lang w:val="en-US"/>
        </w:rPr>
      </w:pPr>
      <w:r>
        <w:rPr>
          <w:rStyle w:val="FootnoteReference"/>
        </w:rPr>
        <w:footnoteRef/>
      </w:r>
      <w:r>
        <w:t xml:space="preserve"> </w:t>
      </w:r>
      <w:r w:rsidRPr="002D47FA">
        <w:t>Deklarācija par Artura Krišjāņa Kariņa vadītā Ministru kabineta iecerēto darbību pieejama šeit: https://www.mk.gov.lv/sites/default/files/editor/kk-valdibas-deklaracija_red-gala.pdf</w:t>
      </w:r>
    </w:p>
  </w:footnote>
  <w:footnote w:id="12">
    <w:p w:rsidR="00A21E09" w:rsidRPr="00E13DFA" w:rsidRDefault="00A21E09" w:rsidP="00B504EB">
      <w:pPr>
        <w:pStyle w:val="FootnoteText"/>
        <w:rPr>
          <w:lang w:val="en-US"/>
        </w:rPr>
      </w:pPr>
      <w:r>
        <w:rPr>
          <w:rStyle w:val="FootnoteReference"/>
        </w:rPr>
        <w:footnoteRef/>
      </w:r>
      <w:r>
        <w:rPr>
          <w:rFonts w:cs="Times New Roman"/>
        </w:rPr>
        <w:t>Pieejams:https://e-</w:t>
      </w:r>
      <w:r w:rsidRPr="00E13DFA">
        <w:rPr>
          <w:rFonts w:cs="Times New Roman"/>
        </w:rPr>
        <w:t>seimas.lrs.lt/portal/legalAct/lt/TAD/107d99d03c5e11e98893d5af47354b00?positionInSearchResults=2&amp;searchModelUUID=d57381e7-716c-4a40-b64e-84d8c1cc8a54</w:t>
      </w:r>
    </w:p>
  </w:footnote>
  <w:footnote w:id="13">
    <w:p w:rsidR="00A21E09" w:rsidRPr="00240297" w:rsidRDefault="00A21E09" w:rsidP="00623F2F">
      <w:pPr>
        <w:pStyle w:val="FootnoteText"/>
      </w:pPr>
      <w:r>
        <w:rPr>
          <w:rStyle w:val="FootnoteReference"/>
        </w:rPr>
        <w:footnoteRef/>
      </w:r>
      <w:r>
        <w:t xml:space="preserve"> </w:t>
      </w:r>
      <w:r w:rsidRPr="00114E66">
        <w:rPr>
          <w:rFonts w:cs="Times New Roman"/>
        </w:rPr>
        <w:t>M</w:t>
      </w:r>
      <w:r>
        <w:rPr>
          <w:rFonts w:cs="Times New Roman"/>
        </w:rPr>
        <w:t>inistru kabineta 2016. gada 5. jūlija noteikumi Nr. 447 "</w:t>
      </w:r>
      <w:r w:rsidRPr="00114E66">
        <w:rPr>
          <w:rFonts w:cs="Times New Roman"/>
        </w:rPr>
        <w:t>Par valsts budžeta mērķdotāciju pedagogu darba samaksai pašvaldību vispārējās izglītības iestādēs un valsts augstskolu vispārējās vidējās izglītības iestādēs</w:t>
      </w:r>
      <w:r>
        <w:rPr>
          <w:rFonts w:cs="Times New Roman"/>
        </w:rPr>
        <w:t>"</w:t>
      </w:r>
      <w:r w:rsidRPr="00114E66">
        <w:rPr>
          <w:rFonts w:cs="Times New Roman"/>
        </w:rPr>
        <w:t xml:space="preserve"> </w:t>
      </w:r>
      <w:r>
        <w:rPr>
          <w:rFonts w:cs="Times New Roman"/>
        </w:rPr>
        <w:t>pieejami šeit</w:t>
      </w:r>
      <w:r w:rsidRPr="00114E66">
        <w:rPr>
          <w:rFonts w:cs="Times New Roman"/>
        </w:rPr>
        <w:t xml:space="preserve">: </w:t>
      </w:r>
      <w:r w:rsidRPr="00030A2B">
        <w:rPr>
          <w:rFonts w:cs="Times New Roman"/>
        </w:rPr>
        <w:t>https://likumi.lv/ta/id/283668-par-valsts-budzeta-merkdotaciju-pedagogu-darba-samaksai-pasvaldibu-visparejas-izglitibas-iestades-un-valsts-augstskolu</w:t>
      </w:r>
    </w:p>
  </w:footnote>
  <w:footnote w:id="14">
    <w:p w:rsidR="00A21E09" w:rsidRPr="00A561BE" w:rsidRDefault="00A21E09">
      <w:pPr>
        <w:pStyle w:val="FootnoteText"/>
        <w:rPr>
          <w:lang w:val="en-US"/>
        </w:rPr>
      </w:pPr>
      <w:r>
        <w:rPr>
          <w:rStyle w:val="FootnoteReference"/>
        </w:rPr>
        <w:footnoteRef/>
      </w:r>
      <w:r>
        <w:t xml:space="preserve"> </w:t>
      </w:r>
      <w:r w:rsidRPr="0091425B">
        <w:t>Ministru kabinet</w:t>
      </w:r>
      <w:r>
        <w:t>a 2016. gada 5. jūlija noteikumi</w:t>
      </w:r>
      <w:r w:rsidRPr="0091425B">
        <w:t xml:space="preserve"> Nr. 445 "Pedagogu darba samaksas noteikumi"  pieejams šeit: https://likumi.lv/ta/id/283667-pedagogu-darba-samaksas-noteikumi</w:t>
      </w:r>
    </w:p>
  </w:footnote>
  <w:footnote w:id="15">
    <w:p w:rsidR="00A21E09" w:rsidRPr="000F3032" w:rsidRDefault="00A21E09" w:rsidP="000F3032">
      <w:pPr>
        <w:pStyle w:val="FootnoteText"/>
      </w:pPr>
      <w:r>
        <w:rPr>
          <w:rStyle w:val="FootnoteReference"/>
        </w:rPr>
        <w:footnoteRef/>
      </w:r>
      <w:r>
        <w:t xml:space="preserve"> Ministru kabineta 2016. gada 5. jūlija noteikumi Nr. 447 „Par valsts budžeta mērķdotāciju pedagogu darba samaksai pašvaldību vispārējās izglītības iestādēs un valsts augstskolu vispārējās vidējās izglītības iestādēs” pieejami šeit:</w:t>
      </w:r>
      <w:r w:rsidRPr="00C54766">
        <w:t xml:space="preserve"> https://likumi.lv/ta/id/283668-par-valsts-budzeta-merkdotaciju-pedagogu-darba-samaksai-pasvaldibu-visparejas-izglitibas-iestades-un-valsts-augstskolu</w:t>
      </w:r>
    </w:p>
  </w:footnote>
  <w:footnote w:id="16">
    <w:p w:rsidR="00A21E09" w:rsidRPr="00C54766" w:rsidRDefault="00A21E09" w:rsidP="00C54766">
      <w:pPr>
        <w:pStyle w:val="FootnoteText"/>
      </w:pPr>
      <w:r>
        <w:rPr>
          <w:rStyle w:val="FootnoteReference"/>
        </w:rPr>
        <w:footnoteRef/>
      </w:r>
      <w:r>
        <w:t xml:space="preserve"> Likuma "Par valsts budžetu 2021. gadam" 6. pielikums „Mērķdotācijas pašvaldībām – pašvaldību pamata un vispārējās vidējās izglītības iestāžu, pašvaldību speciālās izglītības iestāžu un pašvaldību profesionālās izglītības iestāžu pedagogu darba samaksai un valsts sociālās apdrošināšanas obligātajām iemaksām” pieejams šeit: </w:t>
      </w:r>
      <w:r w:rsidRPr="00C54766">
        <w:t>https://likumi.lv/ta/id/319405-par-valsts-budzetu-2021-nbsp-gadam</w:t>
      </w:r>
    </w:p>
  </w:footnote>
  <w:footnote w:id="17">
    <w:p w:rsidR="00A21E09" w:rsidRPr="000F3032" w:rsidRDefault="00A21E09" w:rsidP="00344D32">
      <w:pPr>
        <w:pStyle w:val="FootnoteText"/>
      </w:pPr>
      <w:r>
        <w:rPr>
          <w:rStyle w:val="FootnoteReference"/>
        </w:rPr>
        <w:footnoteRef/>
      </w:r>
      <w:r>
        <w:t xml:space="preserve"> </w:t>
      </w:r>
      <w:r>
        <w:rPr>
          <w:rStyle w:val="FootnoteReference"/>
        </w:rPr>
        <w:footnoteRef/>
      </w:r>
      <w:r>
        <w:t xml:space="preserve"> Ministru kabineta 2016. gada 5. jūlija noteikumu Nr. 447 „Par valsts budžeta mērķdotāciju pedagogu darba samaksai pašvaldību vispārējās izglītības iestādēs un valsts augstskolu vispārējās vidējās izglītības iestādēs” </w:t>
      </w:r>
      <w:r w:rsidRPr="00344D32">
        <w:rPr>
          <w:b/>
        </w:rPr>
        <w:t>9. punkts</w:t>
      </w:r>
      <w:r>
        <w:t>; pieejami šeit:</w:t>
      </w:r>
      <w:r w:rsidRPr="00C54766">
        <w:t xml:space="preserve"> https://likumi.lv/ta/id/283668-par-valsts-budzeta-merkdotaciju-pedagogu-darba-samaksai-pasvaldibu-visparejas-izglitibas-iestades-un-valsts-augstskolu</w:t>
      </w:r>
    </w:p>
    <w:p w:rsidR="00A21E09" w:rsidRPr="00F45541" w:rsidRDefault="00A21E09">
      <w:pPr>
        <w:pStyle w:val="FootnoteText"/>
      </w:pPr>
    </w:p>
  </w:footnote>
  <w:footnote w:id="18">
    <w:p w:rsidR="00A21E09" w:rsidRPr="002542C6" w:rsidRDefault="00A21E09">
      <w:pPr>
        <w:pStyle w:val="FootnoteText"/>
        <w:rPr>
          <w:lang w:val="en-US"/>
        </w:rPr>
      </w:pPr>
      <w:r>
        <w:rPr>
          <w:rStyle w:val="FootnoteReference"/>
        </w:rPr>
        <w:footnoteRef/>
      </w:r>
      <w:r>
        <w:t xml:space="preserve"> </w:t>
      </w:r>
      <w:r w:rsidRPr="002542C6">
        <w:t xml:space="preserve">Pieejams šeit: </w:t>
      </w:r>
      <w:r w:rsidRPr="002542C6">
        <w:rPr>
          <w:lang w:val="en-US"/>
        </w:rPr>
        <w:t>https://drive.google.com/file/d/1AfEym6rGKeoDuRDSlxxXSfb47mLYliph/view</w:t>
      </w:r>
    </w:p>
  </w:footnote>
  <w:footnote w:id="19">
    <w:p w:rsidR="00A21E09" w:rsidRPr="00030956" w:rsidRDefault="00A21E09" w:rsidP="00030956">
      <w:pPr>
        <w:pStyle w:val="FootnoteText"/>
        <w:jc w:val="left"/>
        <w:rPr>
          <w:rFonts w:cs="Times New Roman"/>
        </w:rPr>
      </w:pPr>
      <w:r>
        <w:rPr>
          <w:rStyle w:val="FootnoteReference"/>
        </w:rPr>
        <w:footnoteRef/>
      </w:r>
      <w:r>
        <w:t xml:space="preserve"> </w:t>
      </w:r>
      <w:r>
        <w:rPr>
          <w:rFonts w:cs="Times New Roman"/>
        </w:rPr>
        <w:t>IZM informatīvais ziņojums "</w:t>
      </w:r>
      <w:r w:rsidRPr="00947AF9">
        <w:rPr>
          <w:rFonts w:cs="Times New Roman"/>
        </w:rPr>
        <w:t>Par kvalitatīvas vispārējās vidējās izglītības nodrošināšanas priekšnosacījumiem</w:t>
      </w:r>
      <w:r>
        <w:rPr>
          <w:rFonts w:cs="Times New Roman"/>
        </w:rPr>
        <w:t>" pieejams šeit</w:t>
      </w:r>
      <w:r w:rsidRPr="00A6685E">
        <w:rPr>
          <w:rFonts w:cs="Times New Roman"/>
        </w:rPr>
        <w:t>: http://tap.mk.gov.lv/lv/mk/tap/?pid=40489636&amp;mode=mk&amp;date=2020-10-20</w:t>
      </w:r>
      <w:r w:rsidRPr="00BC7777">
        <w:rPr>
          <w:rFonts w:cs="Times New Roman"/>
        </w:rPr>
        <w:t xml:space="preserve">  </w:t>
      </w:r>
    </w:p>
  </w:footnote>
  <w:footnote w:id="20">
    <w:p w:rsidR="00A21E09" w:rsidRPr="00D426CE" w:rsidRDefault="00A21E09" w:rsidP="00BC7777">
      <w:pPr>
        <w:pStyle w:val="FootnoteText"/>
        <w:rPr>
          <w:rFonts w:cs="Times New Roman"/>
        </w:rPr>
      </w:pPr>
      <w:r w:rsidRPr="00BC7777">
        <w:rPr>
          <w:rStyle w:val="FootnoteReference"/>
          <w:rFonts w:cs="Times New Roman"/>
        </w:rPr>
        <w:footnoteRef/>
      </w:r>
      <w:r w:rsidRPr="00BC7777">
        <w:rPr>
          <w:rFonts w:cs="Times New Roman"/>
        </w:rPr>
        <w:t xml:space="preserve"> </w:t>
      </w:r>
      <w:r>
        <w:rPr>
          <w:rFonts w:cs="Times New Roman"/>
        </w:rPr>
        <w:t>Turpat.</w:t>
      </w:r>
    </w:p>
  </w:footnote>
  <w:footnote w:id="21">
    <w:p w:rsidR="00A21E09" w:rsidRPr="00D426CE" w:rsidRDefault="00A21E09" w:rsidP="00BC7777">
      <w:pPr>
        <w:pStyle w:val="FootnoteText"/>
      </w:pPr>
      <w:r w:rsidRPr="00BC7777">
        <w:rPr>
          <w:rStyle w:val="FootnoteReference"/>
          <w:rFonts w:cs="Times New Roman"/>
        </w:rPr>
        <w:footnoteRef/>
      </w:r>
      <w:r w:rsidRPr="00BC7777">
        <w:rPr>
          <w:rFonts w:cs="Times New Roman"/>
        </w:rPr>
        <w:t xml:space="preserve"> Atbilstoši 2016.gada 5.jūlija Ministru kabineta noteikumu Nr.447 "Par valsts budžeta mērķdotāciju pedagogu darba samaksai pašvaldību vispārējās izglītības iestādēs un valsts augstskolu vispārējās vidējās izglītības iestādēs" 9.1. un 9.2.apakšpunktiem</w:t>
      </w:r>
    </w:p>
  </w:footnote>
  <w:footnote w:id="22">
    <w:p w:rsidR="00A21E09" w:rsidRPr="00D426CE" w:rsidRDefault="00A21E09" w:rsidP="00BC7777">
      <w:pPr>
        <w:pStyle w:val="FootnoteText"/>
        <w:rPr>
          <w:rFonts w:cs="Times New Roman"/>
        </w:rPr>
      </w:pPr>
      <w:r>
        <w:rPr>
          <w:rStyle w:val="FootnoteReference"/>
        </w:rPr>
        <w:footnoteRef/>
      </w:r>
      <w:r>
        <w:t xml:space="preserve"> </w:t>
      </w:r>
      <w:r w:rsidRPr="00BC7777">
        <w:rPr>
          <w:rFonts w:cs="Times New Roman"/>
        </w:rPr>
        <w:t>Izglītības un zinātnes ministrijas 2021.</w:t>
      </w:r>
      <w:r>
        <w:rPr>
          <w:rFonts w:cs="Times New Roman"/>
        </w:rPr>
        <w:t xml:space="preserve"> </w:t>
      </w:r>
      <w:r w:rsidRPr="00BC7777">
        <w:rPr>
          <w:rFonts w:cs="Times New Roman"/>
        </w:rPr>
        <w:t>gada februārī un martā veiktā pašvaldību aptauja par izglītības iestāžu izdevumiem 2019. un 2020.</w:t>
      </w:r>
      <w:r>
        <w:rPr>
          <w:rFonts w:cs="Times New Roman"/>
        </w:rPr>
        <w:t xml:space="preserve"> </w:t>
      </w:r>
      <w:r w:rsidRPr="00BC7777">
        <w:rPr>
          <w:rFonts w:cs="Times New Roman"/>
        </w:rPr>
        <w:t xml:space="preserve">gadā. </w:t>
      </w:r>
    </w:p>
  </w:footnote>
  <w:footnote w:id="23">
    <w:p w:rsidR="00A21E09" w:rsidRPr="00D426CE" w:rsidRDefault="00A21E09" w:rsidP="00BC7777">
      <w:pPr>
        <w:pStyle w:val="FootnoteText"/>
      </w:pPr>
      <w:r w:rsidRPr="00BC7777">
        <w:rPr>
          <w:rStyle w:val="FootnoteReference"/>
          <w:rFonts w:cs="Times New Roman"/>
        </w:rPr>
        <w:footnoteRef/>
      </w:r>
      <w:r w:rsidRPr="00BC7777">
        <w:rPr>
          <w:rFonts w:cs="Times New Roman"/>
        </w:rPr>
        <w:t xml:space="preserve"> Saskaņā ar 2020.</w:t>
      </w:r>
      <w:r>
        <w:rPr>
          <w:rFonts w:cs="Times New Roman"/>
        </w:rPr>
        <w:t xml:space="preserve"> </w:t>
      </w:r>
      <w:r w:rsidRPr="00BC7777">
        <w:rPr>
          <w:rFonts w:cs="Times New Roman"/>
        </w:rPr>
        <w:t>gada 6.</w:t>
      </w:r>
      <w:r>
        <w:rPr>
          <w:rFonts w:cs="Times New Roman"/>
        </w:rPr>
        <w:t xml:space="preserve"> </w:t>
      </w:r>
      <w:r w:rsidRPr="00BC7777">
        <w:rPr>
          <w:rFonts w:cs="Times New Roman"/>
        </w:rPr>
        <w:t>oktobra Ministru kabineta noteikumiem Nr.618 "Izglītības iestāžu, eksaminācijas centru, citu Izglītības likumā noteiktu institūciju un izglītības programmu akreditācijas un izglītības iestāžu vadītāju profesionālās</w:t>
      </w:r>
      <w:r>
        <w:rPr>
          <w:rFonts w:cs="Times New Roman"/>
        </w:rPr>
        <w:t xml:space="preserve"> darbības novērtēšanas kārtība", pieejami šeit: </w:t>
      </w:r>
      <w:r w:rsidRPr="00030956">
        <w:rPr>
          <w:rFonts w:cs="Times New Roman"/>
        </w:rPr>
        <w:t>https://likumi.lv/ta/id/317820-izglitibas-iestazu-eksaminacijas-centru-citu-izglitibas-likuma-noteiktu-instituciju-un-izglitibas-programmu-akreditacijas-un-izglitibas-iestazu-vaditaju-profesionalas-darbibas-novertesanas-kartiba</w:t>
      </w:r>
    </w:p>
  </w:footnote>
  <w:footnote w:id="24">
    <w:p w:rsidR="00A21E09" w:rsidRPr="00D426CE" w:rsidRDefault="00A21E09">
      <w:pPr>
        <w:pStyle w:val="FootnoteText"/>
      </w:pPr>
      <w:r>
        <w:rPr>
          <w:rStyle w:val="FootnoteReference"/>
        </w:rPr>
        <w:footnoteRef/>
      </w:r>
      <w:r>
        <w:t xml:space="preserve"> </w:t>
      </w:r>
      <w:r w:rsidRPr="00F60A08">
        <w:rPr>
          <w:rFonts w:cs="Times New Roman"/>
        </w:rPr>
        <w:t>Ministru kabineta 2018.gada 11.septembra noteikumi Nr.583 "Kritēriji un kārtība, kādā valsts piedalās vispārējās izglītības iestāžu pedagogu darba samaksas finansēšanā vidējās izglītības pakāpē" pieejami</w:t>
      </w:r>
      <w:r>
        <w:rPr>
          <w:rFonts w:cs="Times New Roman"/>
        </w:rPr>
        <w:t xml:space="preserve"> šeit</w:t>
      </w:r>
      <w:r w:rsidRPr="00F60A08">
        <w:rPr>
          <w:rFonts w:cs="Times New Roman"/>
        </w:rPr>
        <w:t>:</w:t>
      </w:r>
      <w:r>
        <w:rPr>
          <w:rFonts w:cs="Times New Roman"/>
        </w:rPr>
        <w:t xml:space="preserve"> </w:t>
      </w:r>
      <w:r w:rsidRPr="00030956">
        <w:rPr>
          <w:rFonts w:cs="Times New Roman"/>
        </w:rPr>
        <w:t>https://likumi.lv/ta/id/302034-kriteriji-un-kartiba-kada-valsts-piedalas-visparejas-izglitibas-iestazu-pedagogu-darba-samaksas-finansesana-videjas</w:t>
      </w:r>
      <w:r w:rsidRPr="00F60A08">
        <w:rPr>
          <w:rFonts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5DD8"/>
    <w:multiLevelType w:val="hybridMultilevel"/>
    <w:tmpl w:val="618CA2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91292B"/>
    <w:multiLevelType w:val="hybridMultilevel"/>
    <w:tmpl w:val="3FEE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B62EB"/>
    <w:multiLevelType w:val="multilevel"/>
    <w:tmpl w:val="B68814C0"/>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
    <w:nsid w:val="0D2860D2"/>
    <w:multiLevelType w:val="hybridMultilevel"/>
    <w:tmpl w:val="983EFC2A"/>
    <w:lvl w:ilvl="0" w:tplc="9A261896">
      <w:start w:val="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06D3FF1"/>
    <w:multiLevelType w:val="hybridMultilevel"/>
    <w:tmpl w:val="9B06ADCA"/>
    <w:lvl w:ilvl="0" w:tplc="D808319E">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F733B2"/>
    <w:multiLevelType w:val="hybridMultilevel"/>
    <w:tmpl w:val="BE32FA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D43FC5"/>
    <w:multiLevelType w:val="hybridMultilevel"/>
    <w:tmpl w:val="1EF29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0357A5"/>
    <w:multiLevelType w:val="hybridMultilevel"/>
    <w:tmpl w:val="29841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AED0532"/>
    <w:multiLevelType w:val="hybridMultilevel"/>
    <w:tmpl w:val="A9302F7C"/>
    <w:lvl w:ilvl="0" w:tplc="ECE0F0DA">
      <w:start w:val="1"/>
      <w:numFmt w:val="decimal"/>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CA43F6F"/>
    <w:multiLevelType w:val="hybridMultilevel"/>
    <w:tmpl w:val="88884DE8"/>
    <w:lvl w:ilvl="0" w:tplc="A776E31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850C2"/>
    <w:multiLevelType w:val="hybridMultilevel"/>
    <w:tmpl w:val="C3F6429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7B70AEF"/>
    <w:multiLevelType w:val="hybridMultilevel"/>
    <w:tmpl w:val="8376E496"/>
    <w:lvl w:ilvl="0" w:tplc="62640D8E">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nsid w:val="4C65761A"/>
    <w:multiLevelType w:val="hybridMultilevel"/>
    <w:tmpl w:val="0CDA443A"/>
    <w:lvl w:ilvl="0" w:tplc="FB58F05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D6772"/>
    <w:multiLevelType w:val="hybridMultilevel"/>
    <w:tmpl w:val="77D8304C"/>
    <w:lvl w:ilvl="0" w:tplc="FB58F05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6B5B67"/>
    <w:multiLevelType w:val="hybridMultilevel"/>
    <w:tmpl w:val="BE48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95764"/>
    <w:multiLevelType w:val="hybridMultilevel"/>
    <w:tmpl w:val="DBD63A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7B705CB"/>
    <w:multiLevelType w:val="hybridMultilevel"/>
    <w:tmpl w:val="4740C75E"/>
    <w:lvl w:ilvl="0" w:tplc="62640D8E">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nsid w:val="7ADD47F1"/>
    <w:multiLevelType w:val="hybridMultilevel"/>
    <w:tmpl w:val="65CA8616"/>
    <w:lvl w:ilvl="0" w:tplc="FB58F05E">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7C8D6EEE"/>
    <w:multiLevelType w:val="hybridMultilevel"/>
    <w:tmpl w:val="2BDC252C"/>
    <w:lvl w:ilvl="0" w:tplc="1A1C1DD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F315C34"/>
    <w:multiLevelType w:val="hybridMultilevel"/>
    <w:tmpl w:val="C67C0C8E"/>
    <w:lvl w:ilvl="0" w:tplc="FB58F0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4"/>
  </w:num>
  <w:num w:numId="3">
    <w:abstractNumId w:val="5"/>
  </w:num>
  <w:num w:numId="4">
    <w:abstractNumId w:val="8"/>
  </w:num>
  <w:num w:numId="5">
    <w:abstractNumId w:val="10"/>
  </w:num>
  <w:num w:numId="6">
    <w:abstractNumId w:val="2"/>
  </w:num>
  <w:num w:numId="7">
    <w:abstractNumId w:val="4"/>
  </w:num>
  <w:num w:numId="8">
    <w:abstractNumId w:val="3"/>
  </w:num>
  <w:num w:numId="9">
    <w:abstractNumId w:val="7"/>
  </w:num>
  <w:num w:numId="10">
    <w:abstractNumId w:val="19"/>
  </w:num>
  <w:num w:numId="11">
    <w:abstractNumId w:val="13"/>
  </w:num>
  <w:num w:numId="12">
    <w:abstractNumId w:val="17"/>
  </w:num>
  <w:num w:numId="13">
    <w:abstractNumId w:val="12"/>
  </w:num>
  <w:num w:numId="14">
    <w:abstractNumId w:val="1"/>
  </w:num>
  <w:num w:numId="15">
    <w:abstractNumId w:val="15"/>
  </w:num>
  <w:num w:numId="16">
    <w:abstractNumId w:val="16"/>
  </w:num>
  <w:num w:numId="17">
    <w:abstractNumId w:val="18"/>
  </w:num>
  <w:num w:numId="18">
    <w:abstractNumId w:val="11"/>
  </w:num>
  <w:num w:numId="19">
    <w:abstractNumId w:val="0"/>
  </w:num>
  <w:num w:numId="2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BA4"/>
    <w:rsid w:val="000034AE"/>
    <w:rsid w:val="00007681"/>
    <w:rsid w:val="000117BF"/>
    <w:rsid w:val="0001184E"/>
    <w:rsid w:val="00021CFD"/>
    <w:rsid w:val="000247BE"/>
    <w:rsid w:val="000256C9"/>
    <w:rsid w:val="00026AE1"/>
    <w:rsid w:val="00030700"/>
    <w:rsid w:val="00030956"/>
    <w:rsid w:val="00030A2B"/>
    <w:rsid w:val="00033D57"/>
    <w:rsid w:val="000353ED"/>
    <w:rsid w:val="0003563B"/>
    <w:rsid w:val="00037D83"/>
    <w:rsid w:val="000418B3"/>
    <w:rsid w:val="00046F68"/>
    <w:rsid w:val="00047308"/>
    <w:rsid w:val="00055A8E"/>
    <w:rsid w:val="00086F73"/>
    <w:rsid w:val="000A6548"/>
    <w:rsid w:val="000A7B60"/>
    <w:rsid w:val="000B2A26"/>
    <w:rsid w:val="000C55A6"/>
    <w:rsid w:val="000D4190"/>
    <w:rsid w:val="000D69CD"/>
    <w:rsid w:val="000E040F"/>
    <w:rsid w:val="000E0B54"/>
    <w:rsid w:val="000F3032"/>
    <w:rsid w:val="000F6772"/>
    <w:rsid w:val="000F6F45"/>
    <w:rsid w:val="00100071"/>
    <w:rsid w:val="00112F58"/>
    <w:rsid w:val="001139A0"/>
    <w:rsid w:val="00114E66"/>
    <w:rsid w:val="00115AFC"/>
    <w:rsid w:val="0011773D"/>
    <w:rsid w:val="00125A13"/>
    <w:rsid w:val="001364EC"/>
    <w:rsid w:val="00140376"/>
    <w:rsid w:val="00141CC6"/>
    <w:rsid w:val="00145EA1"/>
    <w:rsid w:val="00147628"/>
    <w:rsid w:val="0015102A"/>
    <w:rsid w:val="00162759"/>
    <w:rsid w:val="00162F41"/>
    <w:rsid w:val="00166AC7"/>
    <w:rsid w:val="0017065C"/>
    <w:rsid w:val="0017528D"/>
    <w:rsid w:val="00183976"/>
    <w:rsid w:val="00183DF6"/>
    <w:rsid w:val="001B02DE"/>
    <w:rsid w:val="001C5F63"/>
    <w:rsid w:val="001E4ED4"/>
    <w:rsid w:val="001E5C1F"/>
    <w:rsid w:val="001F49BE"/>
    <w:rsid w:val="002014E0"/>
    <w:rsid w:val="00212522"/>
    <w:rsid w:val="00212EF8"/>
    <w:rsid w:val="00231DB5"/>
    <w:rsid w:val="00240297"/>
    <w:rsid w:val="00245A0A"/>
    <w:rsid w:val="00246BEF"/>
    <w:rsid w:val="00254017"/>
    <w:rsid w:val="002542C6"/>
    <w:rsid w:val="00260104"/>
    <w:rsid w:val="00261F02"/>
    <w:rsid w:val="0026364D"/>
    <w:rsid w:val="002731D1"/>
    <w:rsid w:val="00275E16"/>
    <w:rsid w:val="002810F1"/>
    <w:rsid w:val="00294C2C"/>
    <w:rsid w:val="002971B9"/>
    <w:rsid w:val="002A57C2"/>
    <w:rsid w:val="002A5EB7"/>
    <w:rsid w:val="002B2C8F"/>
    <w:rsid w:val="002B347C"/>
    <w:rsid w:val="002C3076"/>
    <w:rsid w:val="002C671F"/>
    <w:rsid w:val="002C6EE9"/>
    <w:rsid w:val="002D0E8C"/>
    <w:rsid w:val="002D4473"/>
    <w:rsid w:val="002D47FA"/>
    <w:rsid w:val="002D4CA9"/>
    <w:rsid w:val="002E00C0"/>
    <w:rsid w:val="002E4554"/>
    <w:rsid w:val="002E4D52"/>
    <w:rsid w:val="002E676D"/>
    <w:rsid w:val="002E72A1"/>
    <w:rsid w:val="002F01B9"/>
    <w:rsid w:val="002F461C"/>
    <w:rsid w:val="002F5E5A"/>
    <w:rsid w:val="002F762A"/>
    <w:rsid w:val="0031154D"/>
    <w:rsid w:val="00313DA7"/>
    <w:rsid w:val="0031415D"/>
    <w:rsid w:val="00315EBE"/>
    <w:rsid w:val="0031615F"/>
    <w:rsid w:val="003168E3"/>
    <w:rsid w:val="00320DAC"/>
    <w:rsid w:val="00326CDF"/>
    <w:rsid w:val="003372F9"/>
    <w:rsid w:val="00344D32"/>
    <w:rsid w:val="00345790"/>
    <w:rsid w:val="00345AD5"/>
    <w:rsid w:val="0035073D"/>
    <w:rsid w:val="00352FC5"/>
    <w:rsid w:val="00360B15"/>
    <w:rsid w:val="00372BB4"/>
    <w:rsid w:val="00383A5D"/>
    <w:rsid w:val="00383C7F"/>
    <w:rsid w:val="00384AA6"/>
    <w:rsid w:val="0038581A"/>
    <w:rsid w:val="00391CC6"/>
    <w:rsid w:val="003A3458"/>
    <w:rsid w:val="003A452F"/>
    <w:rsid w:val="003B0932"/>
    <w:rsid w:val="003B1599"/>
    <w:rsid w:val="003B1DB4"/>
    <w:rsid w:val="003C1062"/>
    <w:rsid w:val="003C2E10"/>
    <w:rsid w:val="003D14BC"/>
    <w:rsid w:val="003D33F0"/>
    <w:rsid w:val="003E04BF"/>
    <w:rsid w:val="003E4731"/>
    <w:rsid w:val="003E69A2"/>
    <w:rsid w:val="003F3F10"/>
    <w:rsid w:val="003F4DE1"/>
    <w:rsid w:val="003F4F0C"/>
    <w:rsid w:val="003F7FA1"/>
    <w:rsid w:val="00401ACC"/>
    <w:rsid w:val="004035B2"/>
    <w:rsid w:val="004063D1"/>
    <w:rsid w:val="00413CA4"/>
    <w:rsid w:val="00443052"/>
    <w:rsid w:val="00452BFD"/>
    <w:rsid w:val="00464B5B"/>
    <w:rsid w:val="00472DC9"/>
    <w:rsid w:val="00476436"/>
    <w:rsid w:val="004818BD"/>
    <w:rsid w:val="00482998"/>
    <w:rsid w:val="0049750A"/>
    <w:rsid w:val="004A071C"/>
    <w:rsid w:val="004A0A86"/>
    <w:rsid w:val="004A43A4"/>
    <w:rsid w:val="004A65C9"/>
    <w:rsid w:val="004B1BFC"/>
    <w:rsid w:val="004D0FF1"/>
    <w:rsid w:val="004E007B"/>
    <w:rsid w:val="004F2175"/>
    <w:rsid w:val="004F239F"/>
    <w:rsid w:val="004F24C6"/>
    <w:rsid w:val="004F3069"/>
    <w:rsid w:val="004F457A"/>
    <w:rsid w:val="00512780"/>
    <w:rsid w:val="0051399E"/>
    <w:rsid w:val="00514BB5"/>
    <w:rsid w:val="00521589"/>
    <w:rsid w:val="0052348F"/>
    <w:rsid w:val="00523669"/>
    <w:rsid w:val="005319A4"/>
    <w:rsid w:val="00533C9F"/>
    <w:rsid w:val="005521B6"/>
    <w:rsid w:val="0055361D"/>
    <w:rsid w:val="00560532"/>
    <w:rsid w:val="00571440"/>
    <w:rsid w:val="00571C23"/>
    <w:rsid w:val="005731B9"/>
    <w:rsid w:val="005801F0"/>
    <w:rsid w:val="005842E0"/>
    <w:rsid w:val="00587BDE"/>
    <w:rsid w:val="005A2370"/>
    <w:rsid w:val="005A3E15"/>
    <w:rsid w:val="005B4E5A"/>
    <w:rsid w:val="005C00B3"/>
    <w:rsid w:val="005C5D5D"/>
    <w:rsid w:val="005D0F5C"/>
    <w:rsid w:val="005E34ED"/>
    <w:rsid w:val="005E43A5"/>
    <w:rsid w:val="005F314E"/>
    <w:rsid w:val="005F79DA"/>
    <w:rsid w:val="00600763"/>
    <w:rsid w:val="006017A2"/>
    <w:rsid w:val="006035E3"/>
    <w:rsid w:val="0060396B"/>
    <w:rsid w:val="006222FE"/>
    <w:rsid w:val="00623F2F"/>
    <w:rsid w:val="00635114"/>
    <w:rsid w:val="006353C5"/>
    <w:rsid w:val="00636FEB"/>
    <w:rsid w:val="00642077"/>
    <w:rsid w:val="00643CBC"/>
    <w:rsid w:val="00645239"/>
    <w:rsid w:val="006528C8"/>
    <w:rsid w:val="0065454E"/>
    <w:rsid w:val="00656494"/>
    <w:rsid w:val="0066322E"/>
    <w:rsid w:val="0068381F"/>
    <w:rsid w:val="006863C1"/>
    <w:rsid w:val="00694EE6"/>
    <w:rsid w:val="006973B0"/>
    <w:rsid w:val="006A0F56"/>
    <w:rsid w:val="006A13AD"/>
    <w:rsid w:val="006A1BC4"/>
    <w:rsid w:val="006A4081"/>
    <w:rsid w:val="006B1C60"/>
    <w:rsid w:val="006D40CC"/>
    <w:rsid w:val="006E1026"/>
    <w:rsid w:val="006E721F"/>
    <w:rsid w:val="006E7235"/>
    <w:rsid w:val="00700F82"/>
    <w:rsid w:val="00702F0B"/>
    <w:rsid w:val="00703119"/>
    <w:rsid w:val="0070675E"/>
    <w:rsid w:val="007107F6"/>
    <w:rsid w:val="007179F6"/>
    <w:rsid w:val="00717F2E"/>
    <w:rsid w:val="00734F3C"/>
    <w:rsid w:val="0074214D"/>
    <w:rsid w:val="00742A87"/>
    <w:rsid w:val="0074722A"/>
    <w:rsid w:val="00751986"/>
    <w:rsid w:val="0075246C"/>
    <w:rsid w:val="007553C1"/>
    <w:rsid w:val="00765C89"/>
    <w:rsid w:val="00766637"/>
    <w:rsid w:val="0077147E"/>
    <w:rsid w:val="00773EE2"/>
    <w:rsid w:val="0077423E"/>
    <w:rsid w:val="00787236"/>
    <w:rsid w:val="007879CC"/>
    <w:rsid w:val="007A78A9"/>
    <w:rsid w:val="007B1565"/>
    <w:rsid w:val="007C6B81"/>
    <w:rsid w:val="007E039A"/>
    <w:rsid w:val="007E0CBC"/>
    <w:rsid w:val="007E71DC"/>
    <w:rsid w:val="008046B7"/>
    <w:rsid w:val="00804CEF"/>
    <w:rsid w:val="00821A07"/>
    <w:rsid w:val="0083179D"/>
    <w:rsid w:val="00831C6B"/>
    <w:rsid w:val="00834B68"/>
    <w:rsid w:val="00834D83"/>
    <w:rsid w:val="00837596"/>
    <w:rsid w:val="00844FC4"/>
    <w:rsid w:val="00845CA1"/>
    <w:rsid w:val="00852DAE"/>
    <w:rsid w:val="00857464"/>
    <w:rsid w:val="00860417"/>
    <w:rsid w:val="0086048E"/>
    <w:rsid w:val="00860F9A"/>
    <w:rsid w:val="00863D53"/>
    <w:rsid w:val="00866072"/>
    <w:rsid w:val="0087176C"/>
    <w:rsid w:val="00871E80"/>
    <w:rsid w:val="00881C98"/>
    <w:rsid w:val="00893546"/>
    <w:rsid w:val="00894EB2"/>
    <w:rsid w:val="0089560F"/>
    <w:rsid w:val="008A29EE"/>
    <w:rsid w:val="008B18A0"/>
    <w:rsid w:val="008B2B03"/>
    <w:rsid w:val="008B5246"/>
    <w:rsid w:val="008B627E"/>
    <w:rsid w:val="008C06A5"/>
    <w:rsid w:val="008C0CEC"/>
    <w:rsid w:val="008C13A5"/>
    <w:rsid w:val="008F4912"/>
    <w:rsid w:val="0090203B"/>
    <w:rsid w:val="00907502"/>
    <w:rsid w:val="0091425B"/>
    <w:rsid w:val="009173B9"/>
    <w:rsid w:val="00925777"/>
    <w:rsid w:val="00925DEF"/>
    <w:rsid w:val="00935FDA"/>
    <w:rsid w:val="00945E51"/>
    <w:rsid w:val="00946E63"/>
    <w:rsid w:val="00947AF9"/>
    <w:rsid w:val="0095375C"/>
    <w:rsid w:val="00954A58"/>
    <w:rsid w:val="00956D6D"/>
    <w:rsid w:val="00962595"/>
    <w:rsid w:val="00971726"/>
    <w:rsid w:val="00976A12"/>
    <w:rsid w:val="009847A9"/>
    <w:rsid w:val="009874D1"/>
    <w:rsid w:val="00992B21"/>
    <w:rsid w:val="00992E5A"/>
    <w:rsid w:val="009A2E17"/>
    <w:rsid w:val="009A6C76"/>
    <w:rsid w:val="009A7019"/>
    <w:rsid w:val="009B14E2"/>
    <w:rsid w:val="009D4883"/>
    <w:rsid w:val="009D4BE2"/>
    <w:rsid w:val="009D519D"/>
    <w:rsid w:val="009D52B4"/>
    <w:rsid w:val="009E1DD5"/>
    <w:rsid w:val="009E2720"/>
    <w:rsid w:val="009F5BFA"/>
    <w:rsid w:val="009F7C33"/>
    <w:rsid w:val="00A0536E"/>
    <w:rsid w:val="00A21725"/>
    <w:rsid w:val="00A21E09"/>
    <w:rsid w:val="00A21EF1"/>
    <w:rsid w:val="00A27E1D"/>
    <w:rsid w:val="00A37811"/>
    <w:rsid w:val="00A45217"/>
    <w:rsid w:val="00A4615A"/>
    <w:rsid w:val="00A46539"/>
    <w:rsid w:val="00A535C6"/>
    <w:rsid w:val="00A54729"/>
    <w:rsid w:val="00A54D0E"/>
    <w:rsid w:val="00A561BE"/>
    <w:rsid w:val="00A57A44"/>
    <w:rsid w:val="00A6685E"/>
    <w:rsid w:val="00A71D9C"/>
    <w:rsid w:val="00A809E4"/>
    <w:rsid w:val="00A86664"/>
    <w:rsid w:val="00A868DE"/>
    <w:rsid w:val="00A90E88"/>
    <w:rsid w:val="00A97AEA"/>
    <w:rsid w:val="00AA4389"/>
    <w:rsid w:val="00AA5279"/>
    <w:rsid w:val="00AB4C83"/>
    <w:rsid w:val="00AB7E09"/>
    <w:rsid w:val="00AD1491"/>
    <w:rsid w:val="00AD3BA5"/>
    <w:rsid w:val="00AD49A4"/>
    <w:rsid w:val="00AE04C4"/>
    <w:rsid w:val="00AE581A"/>
    <w:rsid w:val="00AF5902"/>
    <w:rsid w:val="00B007F2"/>
    <w:rsid w:val="00B04471"/>
    <w:rsid w:val="00B073EA"/>
    <w:rsid w:val="00B10E25"/>
    <w:rsid w:val="00B1153B"/>
    <w:rsid w:val="00B150DE"/>
    <w:rsid w:val="00B22023"/>
    <w:rsid w:val="00B23746"/>
    <w:rsid w:val="00B2533B"/>
    <w:rsid w:val="00B26E92"/>
    <w:rsid w:val="00B35A8C"/>
    <w:rsid w:val="00B37DB7"/>
    <w:rsid w:val="00B403BE"/>
    <w:rsid w:val="00B434A4"/>
    <w:rsid w:val="00B45F37"/>
    <w:rsid w:val="00B47039"/>
    <w:rsid w:val="00B504EB"/>
    <w:rsid w:val="00B623AC"/>
    <w:rsid w:val="00B70024"/>
    <w:rsid w:val="00B823BB"/>
    <w:rsid w:val="00B82E2E"/>
    <w:rsid w:val="00B92929"/>
    <w:rsid w:val="00B971EA"/>
    <w:rsid w:val="00BA108D"/>
    <w:rsid w:val="00BA70D2"/>
    <w:rsid w:val="00BB0B95"/>
    <w:rsid w:val="00BB3655"/>
    <w:rsid w:val="00BB4B6A"/>
    <w:rsid w:val="00BC3F34"/>
    <w:rsid w:val="00BC6898"/>
    <w:rsid w:val="00BC6EDF"/>
    <w:rsid w:val="00BC7777"/>
    <w:rsid w:val="00BD5125"/>
    <w:rsid w:val="00BD730E"/>
    <w:rsid w:val="00BD7F3A"/>
    <w:rsid w:val="00BE0590"/>
    <w:rsid w:val="00BE0EDE"/>
    <w:rsid w:val="00BE11AF"/>
    <w:rsid w:val="00BE2122"/>
    <w:rsid w:val="00BE2D5C"/>
    <w:rsid w:val="00BE46B0"/>
    <w:rsid w:val="00BE48CD"/>
    <w:rsid w:val="00BF4B08"/>
    <w:rsid w:val="00C02F74"/>
    <w:rsid w:val="00C11B7D"/>
    <w:rsid w:val="00C138E5"/>
    <w:rsid w:val="00C14CAC"/>
    <w:rsid w:val="00C15426"/>
    <w:rsid w:val="00C160AD"/>
    <w:rsid w:val="00C2017F"/>
    <w:rsid w:val="00C209E9"/>
    <w:rsid w:val="00C25216"/>
    <w:rsid w:val="00C30E54"/>
    <w:rsid w:val="00C3454A"/>
    <w:rsid w:val="00C40EF0"/>
    <w:rsid w:val="00C428F2"/>
    <w:rsid w:val="00C468A4"/>
    <w:rsid w:val="00C54766"/>
    <w:rsid w:val="00C60DB7"/>
    <w:rsid w:val="00C6258B"/>
    <w:rsid w:val="00C76534"/>
    <w:rsid w:val="00C95D8F"/>
    <w:rsid w:val="00CA466C"/>
    <w:rsid w:val="00CA717D"/>
    <w:rsid w:val="00CC03CC"/>
    <w:rsid w:val="00CD3A66"/>
    <w:rsid w:val="00CD6D85"/>
    <w:rsid w:val="00CD7521"/>
    <w:rsid w:val="00CD7A7C"/>
    <w:rsid w:val="00CE1753"/>
    <w:rsid w:val="00CF4B7C"/>
    <w:rsid w:val="00CF4F1B"/>
    <w:rsid w:val="00CF79A1"/>
    <w:rsid w:val="00D05BBB"/>
    <w:rsid w:val="00D07336"/>
    <w:rsid w:val="00D12F65"/>
    <w:rsid w:val="00D17169"/>
    <w:rsid w:val="00D20610"/>
    <w:rsid w:val="00D26762"/>
    <w:rsid w:val="00D268D0"/>
    <w:rsid w:val="00D301B0"/>
    <w:rsid w:val="00D37C43"/>
    <w:rsid w:val="00D414AC"/>
    <w:rsid w:val="00D426CE"/>
    <w:rsid w:val="00D433CE"/>
    <w:rsid w:val="00D45D2A"/>
    <w:rsid w:val="00D53F0A"/>
    <w:rsid w:val="00D65801"/>
    <w:rsid w:val="00D72AE2"/>
    <w:rsid w:val="00D73900"/>
    <w:rsid w:val="00D77C5B"/>
    <w:rsid w:val="00D80215"/>
    <w:rsid w:val="00D86BCE"/>
    <w:rsid w:val="00D92A14"/>
    <w:rsid w:val="00D92C03"/>
    <w:rsid w:val="00DB47C2"/>
    <w:rsid w:val="00DB73C8"/>
    <w:rsid w:val="00DC0298"/>
    <w:rsid w:val="00DD7EFB"/>
    <w:rsid w:val="00DE024E"/>
    <w:rsid w:val="00E02A64"/>
    <w:rsid w:val="00E04E47"/>
    <w:rsid w:val="00E05AFD"/>
    <w:rsid w:val="00E13DFA"/>
    <w:rsid w:val="00E24C13"/>
    <w:rsid w:val="00E33F3E"/>
    <w:rsid w:val="00E526B6"/>
    <w:rsid w:val="00E547B2"/>
    <w:rsid w:val="00E563F1"/>
    <w:rsid w:val="00E57C4D"/>
    <w:rsid w:val="00E60D85"/>
    <w:rsid w:val="00E62759"/>
    <w:rsid w:val="00E64E05"/>
    <w:rsid w:val="00E653AB"/>
    <w:rsid w:val="00E71190"/>
    <w:rsid w:val="00E7237F"/>
    <w:rsid w:val="00E74F38"/>
    <w:rsid w:val="00E777A9"/>
    <w:rsid w:val="00E909FC"/>
    <w:rsid w:val="00E96F20"/>
    <w:rsid w:val="00E9750C"/>
    <w:rsid w:val="00EA05C8"/>
    <w:rsid w:val="00EA164D"/>
    <w:rsid w:val="00EB27A6"/>
    <w:rsid w:val="00EC1432"/>
    <w:rsid w:val="00EC23CE"/>
    <w:rsid w:val="00EC4361"/>
    <w:rsid w:val="00EC6D22"/>
    <w:rsid w:val="00ED32C2"/>
    <w:rsid w:val="00ED4BC6"/>
    <w:rsid w:val="00EE023B"/>
    <w:rsid w:val="00EE0EA5"/>
    <w:rsid w:val="00EE2562"/>
    <w:rsid w:val="00EE6AB7"/>
    <w:rsid w:val="00EE731B"/>
    <w:rsid w:val="00EF19B8"/>
    <w:rsid w:val="00EF3194"/>
    <w:rsid w:val="00F006D2"/>
    <w:rsid w:val="00F02C03"/>
    <w:rsid w:val="00F04BA4"/>
    <w:rsid w:val="00F16583"/>
    <w:rsid w:val="00F26309"/>
    <w:rsid w:val="00F376BE"/>
    <w:rsid w:val="00F37A94"/>
    <w:rsid w:val="00F405C7"/>
    <w:rsid w:val="00F45541"/>
    <w:rsid w:val="00F471D8"/>
    <w:rsid w:val="00F5184E"/>
    <w:rsid w:val="00F5682A"/>
    <w:rsid w:val="00F601DF"/>
    <w:rsid w:val="00F60A08"/>
    <w:rsid w:val="00F6240B"/>
    <w:rsid w:val="00F637AA"/>
    <w:rsid w:val="00F63E1C"/>
    <w:rsid w:val="00F65102"/>
    <w:rsid w:val="00F73647"/>
    <w:rsid w:val="00F77D01"/>
    <w:rsid w:val="00F807CD"/>
    <w:rsid w:val="00F86E62"/>
    <w:rsid w:val="00F93015"/>
    <w:rsid w:val="00FA196D"/>
    <w:rsid w:val="00FA6148"/>
    <w:rsid w:val="00FB459B"/>
    <w:rsid w:val="00FB4E17"/>
    <w:rsid w:val="00FB6CCB"/>
    <w:rsid w:val="00FC3C6D"/>
    <w:rsid w:val="00FC43D9"/>
    <w:rsid w:val="00FC6CEC"/>
    <w:rsid w:val="00FD1069"/>
    <w:rsid w:val="00FD445F"/>
    <w:rsid w:val="00FE0C25"/>
    <w:rsid w:val="00FE2674"/>
    <w:rsid w:val="00FE3B5F"/>
    <w:rsid w:val="00FF0543"/>
    <w:rsid w:val="00FF6961"/>
    <w:rsid w:val="00FF7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1FBAB8-D4CE-4894-8973-8AD7A61B8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AC7"/>
    <w:pPr>
      <w:ind w:firstLine="720"/>
      <w:jc w:val="both"/>
    </w:pPr>
    <w:rPr>
      <w:rFonts w:ascii="Times New Roman" w:hAnsi="Times New Roman"/>
      <w:sz w:val="24"/>
      <w:lang w:val="lv-LV"/>
    </w:rPr>
  </w:style>
  <w:style w:type="paragraph" w:styleId="Heading1">
    <w:name w:val="heading 1"/>
    <w:basedOn w:val="Normal"/>
    <w:next w:val="Normal"/>
    <w:link w:val="Heading1Char"/>
    <w:uiPriority w:val="9"/>
    <w:qFormat/>
    <w:rsid w:val="00881C98"/>
    <w:pPr>
      <w:keepNext/>
      <w:keepLines/>
      <w:spacing w:before="240" w:after="240"/>
      <w:jc w:val="center"/>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E777A9"/>
    <w:pPr>
      <w:keepNext/>
      <w:keepLines/>
      <w:spacing w:before="80"/>
      <w:ind w:firstLine="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EE9"/>
    <w:pPr>
      <w:ind w:left="720"/>
      <w:contextualSpacing/>
    </w:pPr>
  </w:style>
  <w:style w:type="paragraph" w:styleId="FootnoteText">
    <w:name w:val="footnote text"/>
    <w:basedOn w:val="Normal"/>
    <w:link w:val="FootnoteTextChar"/>
    <w:uiPriority w:val="99"/>
    <w:semiHidden/>
    <w:unhideWhenUsed/>
    <w:rsid w:val="002C6E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6EE9"/>
    <w:rPr>
      <w:sz w:val="20"/>
      <w:szCs w:val="20"/>
      <w:lang w:val="lv-LV"/>
    </w:rPr>
  </w:style>
  <w:style w:type="character" w:styleId="FootnoteReference">
    <w:name w:val="footnote reference"/>
    <w:basedOn w:val="DefaultParagraphFont"/>
    <w:uiPriority w:val="99"/>
    <w:semiHidden/>
    <w:unhideWhenUsed/>
    <w:rsid w:val="002C6EE9"/>
    <w:rPr>
      <w:vertAlign w:val="superscript"/>
    </w:rPr>
  </w:style>
  <w:style w:type="character" w:styleId="Hyperlink">
    <w:name w:val="Hyperlink"/>
    <w:basedOn w:val="DefaultParagraphFont"/>
    <w:uiPriority w:val="99"/>
    <w:unhideWhenUsed/>
    <w:rsid w:val="002C6EE9"/>
    <w:rPr>
      <w:color w:val="0563C1" w:themeColor="hyperlink"/>
      <w:u w:val="single"/>
    </w:rPr>
  </w:style>
  <w:style w:type="paragraph" w:styleId="Header">
    <w:name w:val="header"/>
    <w:basedOn w:val="Normal"/>
    <w:link w:val="HeaderChar"/>
    <w:uiPriority w:val="99"/>
    <w:unhideWhenUsed/>
    <w:rsid w:val="001E4ED4"/>
    <w:pPr>
      <w:tabs>
        <w:tab w:val="center" w:pos="4320"/>
        <w:tab w:val="right" w:pos="8640"/>
      </w:tabs>
      <w:spacing w:after="0" w:line="240" w:lineRule="auto"/>
    </w:pPr>
  </w:style>
  <w:style w:type="character" w:customStyle="1" w:styleId="HeaderChar">
    <w:name w:val="Header Char"/>
    <w:basedOn w:val="DefaultParagraphFont"/>
    <w:link w:val="Header"/>
    <w:uiPriority w:val="99"/>
    <w:rsid w:val="001E4ED4"/>
    <w:rPr>
      <w:lang w:val="lv-LV"/>
    </w:rPr>
  </w:style>
  <w:style w:type="paragraph" w:styleId="Footer">
    <w:name w:val="footer"/>
    <w:basedOn w:val="Normal"/>
    <w:link w:val="FooterChar"/>
    <w:uiPriority w:val="99"/>
    <w:unhideWhenUsed/>
    <w:rsid w:val="001E4ED4"/>
    <w:pPr>
      <w:tabs>
        <w:tab w:val="center" w:pos="4320"/>
        <w:tab w:val="right" w:pos="8640"/>
      </w:tabs>
      <w:spacing w:after="0" w:line="240" w:lineRule="auto"/>
    </w:pPr>
  </w:style>
  <w:style w:type="character" w:customStyle="1" w:styleId="FooterChar">
    <w:name w:val="Footer Char"/>
    <w:basedOn w:val="DefaultParagraphFont"/>
    <w:link w:val="Footer"/>
    <w:uiPriority w:val="99"/>
    <w:rsid w:val="001E4ED4"/>
    <w:rPr>
      <w:lang w:val="lv-LV"/>
    </w:rPr>
  </w:style>
  <w:style w:type="table" w:styleId="TableGrid">
    <w:name w:val="Table Grid"/>
    <w:basedOn w:val="TableNormal"/>
    <w:uiPriority w:val="39"/>
    <w:rsid w:val="00B434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3C9F"/>
    <w:rPr>
      <w:sz w:val="16"/>
      <w:szCs w:val="16"/>
    </w:rPr>
  </w:style>
  <w:style w:type="paragraph" w:styleId="CommentText">
    <w:name w:val="annotation text"/>
    <w:basedOn w:val="Normal"/>
    <w:link w:val="CommentTextChar"/>
    <w:uiPriority w:val="99"/>
    <w:semiHidden/>
    <w:unhideWhenUsed/>
    <w:rsid w:val="00533C9F"/>
    <w:pPr>
      <w:spacing w:line="240" w:lineRule="auto"/>
    </w:pPr>
    <w:rPr>
      <w:sz w:val="20"/>
      <w:szCs w:val="20"/>
    </w:rPr>
  </w:style>
  <w:style w:type="character" w:customStyle="1" w:styleId="CommentTextChar">
    <w:name w:val="Comment Text Char"/>
    <w:basedOn w:val="DefaultParagraphFont"/>
    <w:link w:val="CommentText"/>
    <w:uiPriority w:val="99"/>
    <w:semiHidden/>
    <w:rsid w:val="00533C9F"/>
    <w:rPr>
      <w:sz w:val="20"/>
      <w:szCs w:val="20"/>
      <w:lang w:val="lv-LV"/>
    </w:rPr>
  </w:style>
  <w:style w:type="paragraph" w:styleId="CommentSubject">
    <w:name w:val="annotation subject"/>
    <w:basedOn w:val="CommentText"/>
    <w:next w:val="CommentText"/>
    <w:link w:val="CommentSubjectChar"/>
    <w:uiPriority w:val="99"/>
    <w:semiHidden/>
    <w:unhideWhenUsed/>
    <w:rsid w:val="00533C9F"/>
    <w:rPr>
      <w:b/>
      <w:bCs/>
    </w:rPr>
  </w:style>
  <w:style w:type="character" w:customStyle="1" w:styleId="CommentSubjectChar">
    <w:name w:val="Comment Subject Char"/>
    <w:basedOn w:val="CommentTextChar"/>
    <w:link w:val="CommentSubject"/>
    <w:uiPriority w:val="99"/>
    <w:semiHidden/>
    <w:rsid w:val="00533C9F"/>
    <w:rPr>
      <w:b/>
      <w:bCs/>
      <w:sz w:val="20"/>
      <w:szCs w:val="20"/>
      <w:lang w:val="lv-LV"/>
    </w:rPr>
  </w:style>
  <w:style w:type="paragraph" w:styleId="BalloonText">
    <w:name w:val="Balloon Text"/>
    <w:basedOn w:val="Normal"/>
    <w:link w:val="BalloonTextChar"/>
    <w:uiPriority w:val="99"/>
    <w:semiHidden/>
    <w:unhideWhenUsed/>
    <w:rsid w:val="00533C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C9F"/>
    <w:rPr>
      <w:rFonts w:ascii="Segoe UI" w:hAnsi="Segoe UI" w:cs="Segoe UI"/>
      <w:sz w:val="18"/>
      <w:szCs w:val="18"/>
      <w:lang w:val="lv-LV"/>
    </w:rPr>
  </w:style>
  <w:style w:type="character" w:customStyle="1" w:styleId="Heading1Char">
    <w:name w:val="Heading 1 Char"/>
    <w:basedOn w:val="DefaultParagraphFont"/>
    <w:link w:val="Heading1"/>
    <w:uiPriority w:val="9"/>
    <w:rsid w:val="00A6685E"/>
    <w:rPr>
      <w:rFonts w:ascii="Times New Roman" w:eastAsiaTheme="majorEastAsia" w:hAnsi="Times New Roman" w:cstheme="majorBidi"/>
      <w:b/>
      <w:sz w:val="28"/>
      <w:szCs w:val="32"/>
      <w:lang w:val="lv-LV"/>
    </w:rPr>
  </w:style>
  <w:style w:type="paragraph" w:styleId="TOCHeading">
    <w:name w:val="TOC Heading"/>
    <w:basedOn w:val="Heading1"/>
    <w:next w:val="Normal"/>
    <w:uiPriority w:val="39"/>
    <w:unhideWhenUsed/>
    <w:qFormat/>
    <w:rsid w:val="00F601DF"/>
    <w:pPr>
      <w:outlineLvl w:val="9"/>
    </w:pPr>
    <w:rPr>
      <w:lang w:val="en-US"/>
    </w:rPr>
  </w:style>
  <w:style w:type="paragraph" w:styleId="TOC1">
    <w:name w:val="toc 1"/>
    <w:basedOn w:val="Normal"/>
    <w:next w:val="Normal"/>
    <w:autoRedefine/>
    <w:uiPriority w:val="39"/>
    <w:unhideWhenUsed/>
    <w:rsid w:val="00F5682A"/>
    <w:pPr>
      <w:tabs>
        <w:tab w:val="right" w:leader="dot" w:pos="8630"/>
      </w:tabs>
      <w:spacing w:after="100"/>
      <w:ind w:firstLine="0"/>
    </w:pPr>
  </w:style>
  <w:style w:type="paragraph" w:styleId="NormalWeb">
    <w:name w:val="Normal (Web)"/>
    <w:basedOn w:val="Normal"/>
    <w:uiPriority w:val="99"/>
    <w:semiHidden/>
    <w:unhideWhenUsed/>
    <w:rsid w:val="00A6685E"/>
    <w:pPr>
      <w:spacing w:before="100" w:beforeAutospacing="1" w:after="100" w:afterAutospacing="1" w:line="240" w:lineRule="auto"/>
    </w:pPr>
    <w:rPr>
      <w:rFonts w:eastAsia="Times New Roman" w:cs="Times New Roman"/>
      <w:szCs w:val="24"/>
      <w:lang w:eastAsia="lv-LV"/>
    </w:rPr>
  </w:style>
  <w:style w:type="character" w:customStyle="1" w:styleId="Heading2Char">
    <w:name w:val="Heading 2 Char"/>
    <w:basedOn w:val="DefaultParagraphFont"/>
    <w:link w:val="Heading2"/>
    <w:uiPriority w:val="9"/>
    <w:rsid w:val="00E777A9"/>
    <w:rPr>
      <w:rFonts w:ascii="Times New Roman" w:eastAsiaTheme="majorEastAsia" w:hAnsi="Times New Roman" w:cstheme="majorBidi"/>
      <w:b/>
      <w:sz w:val="24"/>
      <w:szCs w:val="26"/>
      <w:lang w:val="lv-LV"/>
    </w:rPr>
  </w:style>
  <w:style w:type="paragraph" w:styleId="TOC2">
    <w:name w:val="toc 2"/>
    <w:basedOn w:val="Normal"/>
    <w:next w:val="Normal"/>
    <w:autoRedefine/>
    <w:uiPriority w:val="39"/>
    <w:unhideWhenUsed/>
    <w:rsid w:val="00DD7EFB"/>
    <w:pPr>
      <w:tabs>
        <w:tab w:val="right" w:leader="dot" w:pos="8630"/>
      </w:tabs>
      <w:spacing w:after="100"/>
      <w:ind w:left="357" w:firstLine="0"/>
      <w:jc w:val="left"/>
    </w:pPr>
  </w:style>
  <w:style w:type="paragraph" w:styleId="NoSpacing">
    <w:name w:val="No Spacing"/>
    <w:uiPriority w:val="1"/>
    <w:qFormat/>
    <w:rsid w:val="004035B2"/>
    <w:pPr>
      <w:spacing w:after="0" w:line="240" w:lineRule="auto"/>
      <w:ind w:firstLine="720"/>
      <w:jc w:val="both"/>
    </w:pPr>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43312">
      <w:bodyDiv w:val="1"/>
      <w:marLeft w:val="0"/>
      <w:marRight w:val="0"/>
      <w:marTop w:val="0"/>
      <w:marBottom w:val="0"/>
      <w:divBdr>
        <w:top w:val="none" w:sz="0" w:space="0" w:color="auto"/>
        <w:left w:val="none" w:sz="0" w:space="0" w:color="auto"/>
        <w:bottom w:val="none" w:sz="0" w:space="0" w:color="auto"/>
        <w:right w:val="none" w:sz="0" w:space="0" w:color="auto"/>
      </w:divBdr>
    </w:div>
    <w:div w:id="453526059">
      <w:bodyDiv w:val="1"/>
      <w:marLeft w:val="0"/>
      <w:marRight w:val="0"/>
      <w:marTop w:val="0"/>
      <w:marBottom w:val="0"/>
      <w:divBdr>
        <w:top w:val="none" w:sz="0" w:space="0" w:color="auto"/>
        <w:left w:val="none" w:sz="0" w:space="0" w:color="auto"/>
        <w:bottom w:val="none" w:sz="0" w:space="0" w:color="auto"/>
        <w:right w:val="none" w:sz="0" w:space="0" w:color="auto"/>
      </w:divBdr>
    </w:div>
    <w:div w:id="876433745">
      <w:bodyDiv w:val="1"/>
      <w:marLeft w:val="0"/>
      <w:marRight w:val="0"/>
      <w:marTop w:val="0"/>
      <w:marBottom w:val="0"/>
      <w:divBdr>
        <w:top w:val="none" w:sz="0" w:space="0" w:color="auto"/>
        <w:left w:val="none" w:sz="0" w:space="0" w:color="auto"/>
        <w:bottom w:val="none" w:sz="0" w:space="0" w:color="auto"/>
        <w:right w:val="none" w:sz="0" w:space="0" w:color="auto"/>
      </w:divBdr>
    </w:div>
    <w:div w:id="917982253">
      <w:bodyDiv w:val="1"/>
      <w:marLeft w:val="0"/>
      <w:marRight w:val="0"/>
      <w:marTop w:val="0"/>
      <w:marBottom w:val="0"/>
      <w:divBdr>
        <w:top w:val="none" w:sz="0" w:space="0" w:color="auto"/>
        <w:left w:val="none" w:sz="0" w:space="0" w:color="auto"/>
        <w:bottom w:val="none" w:sz="0" w:space="0" w:color="auto"/>
        <w:right w:val="none" w:sz="0" w:space="0" w:color="auto"/>
      </w:divBdr>
    </w:div>
    <w:div w:id="1007558401">
      <w:bodyDiv w:val="1"/>
      <w:marLeft w:val="0"/>
      <w:marRight w:val="0"/>
      <w:marTop w:val="0"/>
      <w:marBottom w:val="0"/>
      <w:divBdr>
        <w:top w:val="none" w:sz="0" w:space="0" w:color="auto"/>
        <w:left w:val="none" w:sz="0" w:space="0" w:color="auto"/>
        <w:bottom w:val="none" w:sz="0" w:space="0" w:color="auto"/>
        <w:right w:val="none" w:sz="0" w:space="0" w:color="auto"/>
      </w:divBdr>
    </w:div>
    <w:div w:id="1764061590">
      <w:bodyDiv w:val="1"/>
      <w:marLeft w:val="0"/>
      <w:marRight w:val="0"/>
      <w:marTop w:val="0"/>
      <w:marBottom w:val="0"/>
      <w:divBdr>
        <w:top w:val="none" w:sz="0" w:space="0" w:color="auto"/>
        <w:left w:val="none" w:sz="0" w:space="0" w:color="auto"/>
        <w:bottom w:val="none" w:sz="0" w:space="0" w:color="auto"/>
        <w:right w:val="none" w:sz="0" w:space="0" w:color="auto"/>
      </w:divBdr>
    </w:div>
    <w:div w:id="1840652978">
      <w:bodyDiv w:val="1"/>
      <w:marLeft w:val="0"/>
      <w:marRight w:val="0"/>
      <w:marTop w:val="0"/>
      <w:marBottom w:val="0"/>
      <w:divBdr>
        <w:top w:val="none" w:sz="0" w:space="0" w:color="auto"/>
        <w:left w:val="none" w:sz="0" w:space="0" w:color="auto"/>
        <w:bottom w:val="none" w:sz="0" w:space="0" w:color="auto"/>
        <w:right w:val="none" w:sz="0" w:space="0" w:color="auto"/>
      </w:divBdr>
    </w:div>
    <w:div w:id="2050646757">
      <w:bodyDiv w:val="1"/>
      <w:marLeft w:val="0"/>
      <w:marRight w:val="0"/>
      <w:marTop w:val="0"/>
      <w:marBottom w:val="0"/>
      <w:divBdr>
        <w:top w:val="none" w:sz="0" w:space="0" w:color="auto"/>
        <w:left w:val="none" w:sz="0" w:space="0" w:color="auto"/>
        <w:bottom w:val="none" w:sz="0" w:space="0" w:color="auto"/>
        <w:right w:val="none" w:sz="0" w:space="0" w:color="auto"/>
      </w:divBdr>
    </w:div>
    <w:div w:id="2106613764">
      <w:bodyDiv w:val="1"/>
      <w:marLeft w:val="0"/>
      <w:marRight w:val="0"/>
      <w:marTop w:val="0"/>
      <w:marBottom w:val="0"/>
      <w:divBdr>
        <w:top w:val="none" w:sz="0" w:space="0" w:color="auto"/>
        <w:left w:val="none" w:sz="0" w:space="0" w:color="auto"/>
        <w:bottom w:val="none" w:sz="0" w:space="0" w:color="auto"/>
        <w:right w:val="none" w:sz="0" w:space="0" w:color="auto"/>
      </w:divBdr>
    </w:div>
    <w:div w:id="21100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izm-s-foxtrot.izm.resors\Departamenti\ID\Informat&#299;vais%20zi&#326;ojums_2021\03.06\20210603_informativa_zinojuma_attel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izm-s-foxtrot.izm.resors\Departamenti\ID\Informat&#299;vais%20zi&#326;ojums_2021\03.06\20210603_informativa_zinojuma_attel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izm-s-foxtrot.izm.resors\Departamenti\ID\Informat&#299;vais%20zi&#326;ojums_2021\03.06\20210603_informativa_zinojuma_attel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izm-s-foxtrot.izm.resors\Departamenti\ID\Informat&#299;vais%20zi&#326;ojums_2021\03.06\20210603_informativa_zinojuma_atteli.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izm-s-foxtrot.izm.resors\Departamenti\ID\Informat&#299;vais%20zi&#326;ojums_2021\07.06.21\20210513_reorganizetas.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1"/>
          <c:tx>
            <c:strRef>
              <c:f>'[20210603_informativa_zinojuma_atteli.xlsx]skolas'!$C$4</c:f>
              <c:strCache>
                <c:ptCount val="1"/>
                <c:pt idx="0">
                  <c:v>%</c:v>
                </c:pt>
              </c:strCache>
            </c:strRef>
          </c:tx>
          <c:spPr>
            <a:solidFill>
              <a:srgbClr val="76669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'[20210603_informativa_zinojuma_atteli.xlsx]skolas'!$A$5:$A$8</c:f>
              <c:strCache>
                <c:ptCount val="4"/>
                <c:pt idx="0">
                  <c:v>790-830 € </c:v>
                </c:pt>
                <c:pt idx="1">
                  <c:v>830-900 €</c:v>
                </c:pt>
                <c:pt idx="2">
                  <c:v>900-1 000 €</c:v>
                </c:pt>
                <c:pt idx="3">
                  <c:v>1 000-1 185 €</c:v>
                </c:pt>
              </c:strCache>
            </c:strRef>
          </c:cat>
          <c:val>
            <c:numRef>
              <c:f>'[20210603_informativa_zinojuma_atteli.xlsx]skolas'!$C$5:$C$8</c:f>
              <c:numCache>
                <c:formatCode>0%</c:formatCode>
                <c:ptCount val="4"/>
                <c:pt idx="0">
                  <c:v>0.23981900452488689</c:v>
                </c:pt>
                <c:pt idx="1">
                  <c:v>0.26558878710959055</c:v>
                </c:pt>
                <c:pt idx="2">
                  <c:v>0.32170842070411654</c:v>
                </c:pt>
                <c:pt idx="3">
                  <c:v>0.17288378766140602</c:v>
                </c:pt>
              </c:numCache>
            </c:numRef>
          </c:val>
          <c:extLst xmlns:c16r2="http://schemas.microsoft.com/office/drawing/2015/06/chart">
            <c:ext xmlns:c16="http://schemas.microsoft.com/office/drawing/2014/chart" uri="{C3380CC4-5D6E-409C-BE32-E72D297353CC}">
              <c16:uniqueId val="{00000002-AEB5-4BD5-A5FE-155E1441AB60}"/>
            </c:ext>
          </c:extLst>
        </c:ser>
        <c:dLbls>
          <c:showLegendKey val="0"/>
          <c:showVal val="0"/>
          <c:showCatName val="0"/>
          <c:showSerName val="0"/>
          <c:showPercent val="0"/>
          <c:showBubbleSize val="0"/>
        </c:dLbls>
        <c:gapWidth val="182"/>
        <c:axId val="153367424"/>
        <c:axId val="376461352"/>
        <c:extLst xmlns:c16r2="http://schemas.microsoft.com/office/drawing/2015/06/chart">
          <c:ext xmlns:c15="http://schemas.microsoft.com/office/drawing/2012/chart" uri="{02D57815-91ED-43cb-92C2-25804820EDAC}">
            <c15:filteredBarSeries>
              <c15:ser>
                <c:idx val="0"/>
                <c:order val="0"/>
                <c:tx>
                  <c:strRef>
                    <c:extLst xmlns:c16r2="http://schemas.microsoft.com/office/drawing/2015/06/chart">
                      <c:ext uri="{02D57815-91ED-43cb-92C2-25804820EDAC}">
                        <c15:formulaRef>
                          <c15:sqref>'[20210603_informativa_zinojuma_atteli.xlsx]skolas'!$B$4</c15:sqref>
                        </c15:formulaRef>
                      </c:ext>
                    </c:extLst>
                    <c:strCache>
                      <c:ptCount val="1"/>
                      <c:pt idx="0">
                        <c:v>Skolotāju skaits</c:v>
                      </c:pt>
                    </c:strCache>
                  </c:strRef>
                </c:tx>
                <c:spPr>
                  <a:solidFill>
                    <a:schemeClr val="accent1"/>
                  </a:solidFill>
                  <a:ln>
                    <a:noFill/>
                  </a:ln>
                  <a:effectLst/>
                </c:spPr>
                <c:invertIfNegative val="0"/>
                <c:cat>
                  <c:strRef>
                    <c:extLst xmlns:c16r2="http://schemas.microsoft.com/office/drawing/2015/06/chart">
                      <c:ext uri="{02D57815-91ED-43cb-92C2-25804820EDAC}">
                        <c15:formulaRef>
                          <c15:sqref>'[20210603_informativa_zinojuma_atteli.xlsx]skolas'!$A$5:$A$8</c15:sqref>
                        </c15:formulaRef>
                      </c:ext>
                    </c:extLst>
                    <c:strCache>
                      <c:ptCount val="4"/>
                      <c:pt idx="0">
                        <c:v>790-830 € </c:v>
                      </c:pt>
                      <c:pt idx="1">
                        <c:v>830-900 €</c:v>
                      </c:pt>
                      <c:pt idx="2">
                        <c:v>900-1 000 €</c:v>
                      </c:pt>
                      <c:pt idx="3">
                        <c:v>1 000-1 185 €</c:v>
                      </c:pt>
                    </c:strCache>
                  </c:strRef>
                </c:cat>
                <c:val>
                  <c:numRef>
                    <c:extLst xmlns:c16r2="http://schemas.microsoft.com/office/drawing/2015/06/chart">
                      <c:ext uri="{02D57815-91ED-43cb-92C2-25804820EDAC}">
                        <c15:formulaRef>
                          <c15:sqref>'[20210603_informativa_zinojuma_atteli.xlsx]skolas'!$B$5:$B$8</c15:sqref>
                        </c15:formulaRef>
                      </c:ext>
                    </c:extLst>
                    <c:numCache>
                      <c:formatCode>General</c:formatCode>
                      <c:ptCount val="4"/>
                      <c:pt idx="0">
                        <c:v>4346</c:v>
                      </c:pt>
                      <c:pt idx="1">
                        <c:v>4813</c:v>
                      </c:pt>
                      <c:pt idx="2">
                        <c:v>5830</c:v>
                      </c:pt>
                      <c:pt idx="3">
                        <c:v>3133</c:v>
                      </c:pt>
                    </c:numCache>
                  </c:numRef>
                </c:val>
                <c:extLst xmlns:c16r2="http://schemas.microsoft.com/office/drawing/2015/06/chart">
                  <c:ext xmlns:c16="http://schemas.microsoft.com/office/drawing/2014/chart" uri="{C3380CC4-5D6E-409C-BE32-E72D297353CC}">
                    <c16:uniqueId val="{00000000-AEB5-4BD5-A5FE-155E1441AB60}"/>
                  </c:ext>
                </c:extLst>
              </c15:ser>
            </c15:filteredBarSeries>
          </c:ext>
        </c:extLst>
      </c:barChart>
      <c:catAx>
        <c:axId val="1533674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76461352"/>
        <c:crosses val="autoZero"/>
        <c:auto val="1"/>
        <c:lblAlgn val="ctr"/>
        <c:lblOffset val="100"/>
        <c:noMultiLvlLbl val="0"/>
      </c:catAx>
      <c:valAx>
        <c:axId val="376461352"/>
        <c:scaling>
          <c:orientation val="minMax"/>
        </c:scaling>
        <c:delete val="1"/>
        <c:axPos val="t"/>
        <c:numFmt formatCode="0%" sourceLinked="1"/>
        <c:majorTickMark val="none"/>
        <c:minorTickMark val="none"/>
        <c:tickLblPos val="nextTo"/>
        <c:crossAx val="153367424"/>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988456089006576"/>
          <c:y val="6.4046579330422126E-2"/>
          <c:w val="0.67380956209609266"/>
          <c:h val="0.87190684133915575"/>
        </c:manualLayout>
      </c:layout>
      <c:barChart>
        <c:barDir val="bar"/>
        <c:grouping val="clustered"/>
        <c:varyColors val="0"/>
        <c:ser>
          <c:idx val="0"/>
          <c:order val="0"/>
          <c:tx>
            <c:strRef>
              <c:f>'[20210603_informativa_zinojuma_atteli.xlsx]skolas'!$C$12</c:f>
              <c:strCache>
                <c:ptCount val="1"/>
                <c:pt idx="0">
                  <c:v>%</c:v>
                </c:pt>
              </c:strCache>
            </c:strRef>
          </c:tx>
          <c:spPr>
            <a:solidFill>
              <a:srgbClr val="766691"/>
            </a:solidFill>
            <a:ln w="19050">
              <a:solidFill>
                <a:schemeClr val="lt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'[20210603_informativa_zinojuma_atteli.xlsx]skolas'!$A$13:$A$16</c:f>
              <c:strCache>
                <c:ptCount val="4"/>
                <c:pt idx="0">
                  <c:v>mazāka par 15 </c:v>
                </c:pt>
                <c:pt idx="1">
                  <c:v>no 15 līdz 30 </c:v>
                </c:pt>
                <c:pt idx="2">
                  <c:v>no 30 līdz 40</c:v>
                </c:pt>
                <c:pt idx="3">
                  <c:v>vairāk par 40</c:v>
                </c:pt>
              </c:strCache>
            </c:strRef>
          </c:cat>
          <c:val>
            <c:numRef>
              <c:f>'[20210603_informativa_zinojuma_atteli.xlsx]skolas'!$C$13:$C$16</c:f>
              <c:numCache>
                <c:formatCode>0%</c:formatCode>
                <c:ptCount val="4"/>
                <c:pt idx="0">
                  <c:v>0.21002096898797043</c:v>
                </c:pt>
                <c:pt idx="1">
                  <c:v>0.3211566052312107</c:v>
                </c:pt>
                <c:pt idx="2">
                  <c:v>0.44371482176360227</c:v>
                </c:pt>
                <c:pt idx="3">
                  <c:v>2.5107604017216643E-2</c:v>
                </c:pt>
              </c:numCache>
            </c:numRef>
          </c:val>
          <c:extLst xmlns:c16r2="http://schemas.microsoft.com/office/drawing/2015/06/chart">
            <c:ext xmlns:c16="http://schemas.microsoft.com/office/drawing/2014/chart" uri="{C3380CC4-5D6E-409C-BE32-E72D297353CC}">
              <c16:uniqueId val="{00000008-9169-44C6-B0AB-BACB9B32FFB8}"/>
            </c:ext>
          </c:extLst>
        </c:ser>
        <c:dLbls>
          <c:showLegendKey val="0"/>
          <c:showVal val="0"/>
          <c:showCatName val="0"/>
          <c:showSerName val="0"/>
          <c:showPercent val="0"/>
          <c:showBubbleSize val="0"/>
        </c:dLbls>
        <c:gapWidth val="100"/>
        <c:axId val="376462136"/>
        <c:axId val="376462920"/>
      </c:barChart>
      <c:valAx>
        <c:axId val="376462920"/>
        <c:scaling>
          <c:orientation val="minMax"/>
        </c:scaling>
        <c:delete val="1"/>
        <c:axPos val="t"/>
        <c:numFmt formatCode="0%" sourceLinked="1"/>
        <c:majorTickMark val="out"/>
        <c:minorTickMark val="none"/>
        <c:tickLblPos val="none"/>
        <c:crossAx val="376462136"/>
        <c:crosses val="autoZero"/>
        <c:crossBetween val="between"/>
      </c:valAx>
      <c:catAx>
        <c:axId val="376462136"/>
        <c:scaling>
          <c:orientation val="maxMin"/>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en-US"/>
          </a:p>
        </c:txPr>
        <c:crossAx val="376462920"/>
        <c:crosses val="autoZero"/>
        <c:auto val="1"/>
        <c:lblAlgn val="ctr"/>
        <c:lblOffset val="100"/>
        <c:noMultiLvlLbl val="0"/>
      </c:catAx>
      <c:spPr>
        <a:noFill/>
        <a:ln>
          <a:noFill/>
        </a:ln>
        <a:effectLst/>
      </c:spPr>
    </c:plotArea>
    <c:plotVisOnly val="1"/>
    <c:dispBlanksAs val="gap"/>
    <c:showDLblsOverMax val="0"/>
  </c:chart>
  <c:spPr>
    <a:no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044241404183698E-2"/>
          <c:y val="5.4835493519441676E-2"/>
          <c:w val="0.9567203654724693"/>
          <c:h val="0.79809704744035614"/>
        </c:manualLayout>
      </c:layout>
      <c:barChart>
        <c:barDir val="col"/>
        <c:grouping val="clustered"/>
        <c:varyColors val="0"/>
        <c:ser>
          <c:idx val="0"/>
          <c:order val="0"/>
          <c:tx>
            <c:strRef>
              <c:f>'[20210603_informativa_zinojuma_atteli.xlsx]skolas'!$C$23</c:f>
              <c:strCache>
                <c:ptCount val="1"/>
                <c:pt idx="0">
                  <c:v>%</c:v>
                </c:pt>
              </c:strCache>
            </c:strRef>
          </c:tx>
          <c:spPr>
            <a:solidFill>
              <a:srgbClr val="76669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'[20210603_informativa_zinojuma_atteli.xlsx]skolas'!$A$24:$A$29</c:f>
              <c:strCache>
                <c:ptCount val="6"/>
                <c:pt idx="0">
                  <c:v>0%</c:v>
                </c:pt>
                <c:pt idx="1">
                  <c:v>1-5%</c:v>
                </c:pt>
                <c:pt idx="2">
                  <c:v>5-10%</c:v>
                </c:pt>
                <c:pt idx="3">
                  <c:v>10-20%</c:v>
                </c:pt>
                <c:pt idx="4">
                  <c:v>20-30%</c:v>
                </c:pt>
                <c:pt idx="5">
                  <c:v>vairāk par 30 %</c:v>
                </c:pt>
              </c:strCache>
            </c:strRef>
          </c:cat>
          <c:val>
            <c:numRef>
              <c:f>'[20210603_informativa_zinojuma_atteli.xlsx]skolas'!$C$24:$C$29</c:f>
              <c:numCache>
                <c:formatCode>0%</c:formatCode>
                <c:ptCount val="6"/>
                <c:pt idx="0">
                  <c:v>4.0172166427546625E-2</c:v>
                </c:pt>
                <c:pt idx="1">
                  <c:v>2.0086083213773313E-2</c:v>
                </c:pt>
                <c:pt idx="2">
                  <c:v>4.6131773534929921E-2</c:v>
                </c:pt>
                <c:pt idx="3">
                  <c:v>0.22105727844608763</c:v>
                </c:pt>
                <c:pt idx="4">
                  <c:v>0.30007725416620684</c:v>
                </c:pt>
                <c:pt idx="5">
                  <c:v>0.37247544421145568</c:v>
                </c:pt>
              </c:numCache>
            </c:numRef>
          </c:val>
          <c:extLst xmlns:c16r2="http://schemas.microsoft.com/office/drawing/2015/06/chart">
            <c:ext xmlns:c16="http://schemas.microsoft.com/office/drawing/2014/chart" uri="{C3380CC4-5D6E-409C-BE32-E72D297353CC}">
              <c16:uniqueId val="{00000000-3085-483A-9BB8-CD58D51DA8EA}"/>
            </c:ext>
          </c:extLst>
        </c:ser>
        <c:dLbls>
          <c:showLegendKey val="0"/>
          <c:showVal val="0"/>
          <c:showCatName val="0"/>
          <c:showSerName val="0"/>
          <c:showPercent val="0"/>
          <c:showBubbleSize val="0"/>
        </c:dLbls>
        <c:gapWidth val="219"/>
        <c:overlap val="-27"/>
        <c:axId val="376462528"/>
        <c:axId val="376463312"/>
      </c:barChart>
      <c:catAx>
        <c:axId val="37646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76463312"/>
        <c:crosses val="autoZero"/>
        <c:auto val="1"/>
        <c:lblAlgn val="ctr"/>
        <c:lblOffset val="100"/>
        <c:noMultiLvlLbl val="0"/>
      </c:catAx>
      <c:valAx>
        <c:axId val="376463312"/>
        <c:scaling>
          <c:orientation val="minMax"/>
        </c:scaling>
        <c:delete val="1"/>
        <c:axPos val="l"/>
        <c:numFmt formatCode="0%" sourceLinked="1"/>
        <c:majorTickMark val="none"/>
        <c:minorTickMark val="none"/>
        <c:tickLblPos val="nextTo"/>
        <c:crossAx val="37646252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78176231297032"/>
          <c:y val="5.4835493519441676E-2"/>
          <c:w val="0.57369939068037779"/>
          <c:h val="0.89032901296111666"/>
        </c:manualLayout>
      </c:layout>
      <c:barChart>
        <c:barDir val="bar"/>
        <c:grouping val="clustered"/>
        <c:varyColors val="0"/>
        <c:ser>
          <c:idx val="0"/>
          <c:order val="0"/>
          <c:tx>
            <c:strRef>
              <c:f>'[20210603_informativa_zinojuma_atteli.xlsx]skolas'!$C$38</c:f>
              <c:strCache>
                <c:ptCount val="1"/>
                <c:pt idx="0">
                  <c:v>%</c:v>
                </c:pt>
              </c:strCache>
            </c:strRef>
          </c:tx>
          <c:spPr>
            <a:solidFill>
              <a:srgbClr val="76669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'[20210603_informativa_zinojuma_atteli.xlsx]skolas'!$A$39:$A$43</c:f>
              <c:strCache>
                <c:ptCount val="5"/>
                <c:pt idx="0">
                  <c:v>mazāka par 500 €</c:v>
                </c:pt>
                <c:pt idx="1">
                  <c:v>500-790 €</c:v>
                </c:pt>
                <c:pt idx="2">
                  <c:v>790-1 000 €</c:v>
                </c:pt>
                <c:pt idx="3">
                  <c:v>1 000-1 500 €</c:v>
                </c:pt>
                <c:pt idx="4">
                  <c:v>lielāka par 1 500 €</c:v>
                </c:pt>
              </c:strCache>
            </c:strRef>
          </c:cat>
          <c:val>
            <c:numRef>
              <c:f>'[20210603_informativa_zinojuma_atteli.xlsx]skolas'!$C$39:$C$43</c:f>
              <c:numCache>
                <c:formatCode>0%</c:formatCode>
                <c:ptCount val="5"/>
                <c:pt idx="0">
                  <c:v>0.22972078137070964</c:v>
                </c:pt>
                <c:pt idx="1">
                  <c:v>0.18392009711952323</c:v>
                </c:pt>
                <c:pt idx="2">
                  <c:v>0.1713938858845602</c:v>
                </c:pt>
                <c:pt idx="3">
                  <c:v>0.37688996799470259</c:v>
                </c:pt>
                <c:pt idx="4">
                  <c:v>3.807526763050436E-2</c:v>
                </c:pt>
              </c:numCache>
            </c:numRef>
          </c:val>
          <c:extLst xmlns:c16r2="http://schemas.microsoft.com/office/drawing/2015/06/chart">
            <c:ext xmlns:c16="http://schemas.microsoft.com/office/drawing/2014/chart" uri="{C3380CC4-5D6E-409C-BE32-E72D297353CC}">
              <c16:uniqueId val="{00000000-E017-420A-AB4B-AB1A6206584C}"/>
            </c:ext>
          </c:extLst>
        </c:ser>
        <c:dLbls>
          <c:showLegendKey val="0"/>
          <c:showVal val="0"/>
          <c:showCatName val="0"/>
          <c:showSerName val="0"/>
          <c:showPercent val="0"/>
          <c:showBubbleSize val="0"/>
        </c:dLbls>
        <c:gapWidth val="182"/>
        <c:axId val="154866640"/>
        <c:axId val="154867424"/>
      </c:barChart>
      <c:catAx>
        <c:axId val="15486664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54867424"/>
        <c:crosses val="autoZero"/>
        <c:auto val="1"/>
        <c:lblAlgn val="ctr"/>
        <c:lblOffset val="100"/>
        <c:noMultiLvlLbl val="0"/>
      </c:catAx>
      <c:valAx>
        <c:axId val="154867424"/>
        <c:scaling>
          <c:orientation val="minMax"/>
        </c:scaling>
        <c:delete val="1"/>
        <c:axPos val="t"/>
        <c:numFmt formatCode="0%" sourceLinked="1"/>
        <c:majorTickMark val="none"/>
        <c:minorTickMark val="none"/>
        <c:tickLblPos val="nextTo"/>
        <c:crossAx val="154866640"/>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5.0889880803116169E-2"/>
          <c:y val="3.6795450744271617E-2"/>
          <c:w val="0.92575555444104518"/>
          <c:h val="0.71453920743599975"/>
        </c:manualLayout>
      </c:layout>
      <c:barChart>
        <c:barDir val="col"/>
        <c:grouping val="clustered"/>
        <c:varyColors val="0"/>
        <c:ser>
          <c:idx val="1"/>
          <c:order val="1"/>
          <c:tx>
            <c:strRef>
              <c:f>'grafikam (2)'!$C$1</c:f>
              <c:strCache>
                <c:ptCount val="1"/>
                <c:pt idx="0">
                  <c:v>vispārizglītojošā vidusskola</c:v>
                </c:pt>
              </c:strCache>
            </c:strRef>
          </c:tx>
          <c:spPr>
            <a:solidFill>
              <a:srgbClr val="68478D"/>
            </a:solidFill>
            <a:ln>
              <a:noFill/>
            </a:ln>
            <a:effectLst/>
          </c:spPr>
          <c:invertIfNegative val="0"/>
          <c:dPt>
            <c:idx val="2"/>
            <c:invertIfNegative val="0"/>
            <c:bubble3D val="0"/>
            <c:spPr>
              <a:solidFill>
                <a:srgbClr val="D3CEDC"/>
              </a:solidFill>
              <a:ln>
                <a:noFill/>
              </a:ln>
              <a:effectLst/>
            </c:spPr>
            <c:extLst xmlns:c16r2="http://schemas.microsoft.com/office/drawing/2015/06/chart">
              <c:ext xmlns:c16="http://schemas.microsoft.com/office/drawing/2014/chart" uri="{C3380CC4-5D6E-409C-BE32-E72D297353CC}">
                <c16:uniqueId val="{00000001-319D-4C94-99B6-D2BDA989D46F}"/>
              </c:ext>
            </c:extLst>
          </c:dPt>
          <c:dPt>
            <c:idx val="3"/>
            <c:invertIfNegative val="0"/>
            <c:bubble3D val="0"/>
            <c:spPr>
              <a:solidFill>
                <a:srgbClr val="D3CEDC"/>
              </a:solidFill>
              <a:ln>
                <a:noFill/>
              </a:ln>
              <a:effectLst/>
            </c:spPr>
            <c:extLst xmlns:c16r2="http://schemas.microsoft.com/office/drawing/2015/06/chart">
              <c:ext xmlns:c16="http://schemas.microsoft.com/office/drawing/2014/chart" uri="{C3380CC4-5D6E-409C-BE32-E72D297353CC}">
                <c16:uniqueId val="{00000003-319D-4C94-99B6-D2BDA989D46F}"/>
              </c:ext>
            </c:extLst>
          </c:dPt>
          <c:dPt>
            <c:idx val="4"/>
            <c:invertIfNegative val="0"/>
            <c:bubble3D val="0"/>
            <c:spPr>
              <a:solidFill>
                <a:srgbClr val="68478D"/>
              </a:solidFill>
              <a:ln>
                <a:noFill/>
              </a:ln>
              <a:effectLst/>
            </c:spPr>
            <c:extLst xmlns:c16r2="http://schemas.microsoft.com/office/drawing/2015/06/chart">
              <c:ext xmlns:c16="http://schemas.microsoft.com/office/drawing/2014/chart" uri="{C3380CC4-5D6E-409C-BE32-E72D297353CC}">
                <c16:uniqueId val="{00000005-319D-4C94-99B6-D2BDA989D46F}"/>
              </c:ext>
            </c:extLst>
          </c:dPt>
          <c:dPt>
            <c:idx val="7"/>
            <c:invertIfNegative val="0"/>
            <c:bubble3D val="0"/>
            <c:spPr>
              <a:solidFill>
                <a:srgbClr val="D3CEDC"/>
              </a:solidFill>
              <a:ln>
                <a:noFill/>
              </a:ln>
              <a:effectLst/>
            </c:spPr>
            <c:extLst xmlns:c16r2="http://schemas.microsoft.com/office/drawing/2015/06/chart">
              <c:ext xmlns:c16="http://schemas.microsoft.com/office/drawing/2014/chart" uri="{C3380CC4-5D6E-409C-BE32-E72D297353CC}">
                <c16:uniqueId val="{00000007-319D-4C94-99B6-D2BDA989D46F}"/>
              </c:ext>
            </c:extLst>
          </c:dPt>
          <c:dPt>
            <c:idx val="8"/>
            <c:invertIfNegative val="0"/>
            <c:bubble3D val="0"/>
            <c:spPr>
              <a:solidFill>
                <a:srgbClr val="68478D"/>
              </a:solidFill>
              <a:ln>
                <a:noFill/>
              </a:ln>
              <a:effectLst/>
            </c:spPr>
            <c:extLst xmlns:c16r2="http://schemas.microsoft.com/office/drawing/2015/06/chart">
              <c:ext xmlns:c16="http://schemas.microsoft.com/office/drawing/2014/chart" uri="{C3380CC4-5D6E-409C-BE32-E72D297353CC}">
                <c16:uniqueId val="{00000009-319D-4C94-99B6-D2BDA989D46F}"/>
              </c:ext>
            </c:extLst>
          </c:dPt>
          <c:dPt>
            <c:idx val="10"/>
            <c:invertIfNegative val="0"/>
            <c:bubble3D val="0"/>
            <c:spPr>
              <a:solidFill>
                <a:srgbClr val="68478D"/>
              </a:solidFill>
              <a:ln>
                <a:noFill/>
              </a:ln>
              <a:effectLst/>
            </c:spPr>
            <c:extLst xmlns:c16r2="http://schemas.microsoft.com/office/drawing/2015/06/chart">
              <c:ext xmlns:c16="http://schemas.microsoft.com/office/drawing/2014/chart" uri="{C3380CC4-5D6E-409C-BE32-E72D297353CC}">
                <c16:uniqueId val="{0000000B-319D-4C94-99B6-D2BDA989D46F}"/>
              </c:ext>
            </c:extLst>
          </c:dPt>
          <c:dPt>
            <c:idx val="14"/>
            <c:invertIfNegative val="0"/>
            <c:bubble3D val="0"/>
            <c:spPr>
              <a:solidFill>
                <a:srgbClr val="68478D"/>
              </a:solidFill>
              <a:ln>
                <a:noFill/>
              </a:ln>
              <a:effectLst/>
            </c:spPr>
            <c:extLst xmlns:c16r2="http://schemas.microsoft.com/office/drawing/2015/06/chart">
              <c:ext xmlns:c16="http://schemas.microsoft.com/office/drawing/2014/chart" uri="{C3380CC4-5D6E-409C-BE32-E72D297353CC}">
                <c16:uniqueId val="{0000000D-319D-4C94-99B6-D2BDA989D46F}"/>
              </c:ext>
            </c:extLst>
          </c:dPt>
          <c:dPt>
            <c:idx val="16"/>
            <c:invertIfNegative val="0"/>
            <c:bubble3D val="0"/>
            <c:spPr>
              <a:solidFill>
                <a:srgbClr val="68478D"/>
              </a:solidFill>
              <a:ln>
                <a:noFill/>
              </a:ln>
              <a:effectLst/>
            </c:spPr>
            <c:extLst xmlns:c16r2="http://schemas.microsoft.com/office/drawing/2015/06/chart">
              <c:ext xmlns:c16="http://schemas.microsoft.com/office/drawing/2014/chart" uri="{C3380CC4-5D6E-409C-BE32-E72D297353CC}">
                <c16:uniqueId val="{0000000F-319D-4C94-99B6-D2BDA989D46F}"/>
              </c:ext>
            </c:extLst>
          </c:dPt>
          <c:dPt>
            <c:idx val="17"/>
            <c:invertIfNegative val="0"/>
            <c:bubble3D val="0"/>
            <c:spPr>
              <a:solidFill>
                <a:srgbClr val="D3CEDC"/>
              </a:solidFill>
              <a:ln>
                <a:noFill/>
              </a:ln>
              <a:effectLst/>
            </c:spPr>
            <c:extLst xmlns:c16r2="http://schemas.microsoft.com/office/drawing/2015/06/chart">
              <c:ext xmlns:c16="http://schemas.microsoft.com/office/drawing/2014/chart" uri="{C3380CC4-5D6E-409C-BE32-E72D297353CC}">
                <c16:uniqueId val="{00000011-319D-4C94-99B6-D2BDA989D46F}"/>
              </c:ext>
            </c:extLst>
          </c:dPt>
          <c:dPt>
            <c:idx val="18"/>
            <c:invertIfNegative val="0"/>
            <c:bubble3D val="0"/>
            <c:spPr>
              <a:solidFill>
                <a:srgbClr val="D3CEDC"/>
              </a:solidFill>
              <a:ln>
                <a:noFill/>
              </a:ln>
              <a:effectLst/>
            </c:spPr>
            <c:extLst xmlns:c16r2="http://schemas.microsoft.com/office/drawing/2015/06/chart">
              <c:ext xmlns:c16="http://schemas.microsoft.com/office/drawing/2014/chart" uri="{C3380CC4-5D6E-409C-BE32-E72D297353CC}">
                <c16:uniqueId val="{00000013-319D-4C94-99B6-D2BDA989D46F}"/>
              </c:ext>
            </c:extLst>
          </c:dPt>
          <c:dPt>
            <c:idx val="21"/>
            <c:invertIfNegative val="0"/>
            <c:bubble3D val="0"/>
            <c:spPr>
              <a:solidFill>
                <a:srgbClr val="68478D"/>
              </a:solidFill>
              <a:ln>
                <a:noFill/>
              </a:ln>
              <a:effectLst/>
            </c:spPr>
            <c:extLst xmlns:c16r2="http://schemas.microsoft.com/office/drawing/2015/06/chart">
              <c:ext xmlns:c16="http://schemas.microsoft.com/office/drawing/2014/chart" uri="{C3380CC4-5D6E-409C-BE32-E72D297353CC}">
                <c16:uniqueId val="{00000015-319D-4C94-99B6-D2BDA989D46F}"/>
              </c:ext>
            </c:extLst>
          </c:dPt>
          <c:dLbls>
            <c:dLbl>
              <c:idx val="2"/>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19D-4C94-99B6-D2BDA989D46F}"/>
                </c:ext>
                <c:ext xmlns:c15="http://schemas.microsoft.com/office/drawing/2012/chart" uri="{CE6537A1-D6FC-4f65-9D91-7224C49458BB}"/>
              </c:extLst>
            </c:dLbl>
            <c:dLbl>
              <c:idx val="3"/>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319D-4C94-99B6-D2BDA989D46F}"/>
                </c:ext>
                <c:ext xmlns:c15="http://schemas.microsoft.com/office/drawing/2012/chart" uri="{CE6537A1-D6FC-4f65-9D91-7224C49458BB}"/>
              </c:extLst>
            </c:dLbl>
            <c:dLbl>
              <c:idx val="7"/>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319D-4C94-99B6-D2BDA989D46F}"/>
                </c:ext>
                <c:ext xmlns:c15="http://schemas.microsoft.com/office/drawing/2012/chart" uri="{CE6537A1-D6FC-4f65-9D91-7224C49458BB}"/>
              </c:extLst>
            </c:dLbl>
            <c:dLbl>
              <c:idx val="17"/>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319D-4C94-99B6-D2BDA989D46F}"/>
                </c:ext>
                <c:ext xmlns:c15="http://schemas.microsoft.com/office/drawing/2012/chart" uri="{CE6537A1-D6FC-4f65-9D91-7224C49458BB}"/>
              </c:extLst>
            </c:dLbl>
            <c:dLbl>
              <c:idx val="18"/>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319D-4C94-99B6-D2BDA989D46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'grafikam (2)'!$A$2:$A$21</c:f>
              <c:strCache>
                <c:ptCount val="20"/>
                <c:pt idx="0">
                  <c:v>Nīderlande</c:v>
                </c:pt>
                <c:pt idx="1">
                  <c:v>Apvienotā Karaliste</c:v>
                </c:pt>
                <c:pt idx="2">
                  <c:v>Somija</c:v>
                </c:pt>
                <c:pt idx="3">
                  <c:v>Igaunija</c:v>
                </c:pt>
                <c:pt idx="4">
                  <c:v>Slovākija</c:v>
                </c:pt>
                <c:pt idx="5">
                  <c:v>Francija</c:v>
                </c:pt>
                <c:pt idx="6">
                  <c:v>Vācija</c:v>
                </c:pt>
                <c:pt idx="7">
                  <c:v>ES 23 vidējais</c:v>
                </c:pt>
                <c:pt idx="8">
                  <c:v>Spānija</c:v>
                </c:pt>
                <c:pt idx="9">
                  <c:v>Ungārija</c:v>
                </c:pt>
                <c:pt idx="10">
                  <c:v>Itālija</c:v>
                </c:pt>
                <c:pt idx="11">
                  <c:v>Čehija</c:v>
                </c:pt>
                <c:pt idx="12">
                  <c:v>Polija</c:v>
                </c:pt>
                <c:pt idx="13">
                  <c:v>Beļģija</c:v>
                </c:pt>
                <c:pt idx="14">
                  <c:v>Grieķija</c:v>
                </c:pt>
                <c:pt idx="15">
                  <c:v>Austrija</c:v>
                </c:pt>
                <c:pt idx="16">
                  <c:v>Dānija</c:v>
                </c:pt>
                <c:pt idx="17">
                  <c:v>Latvija</c:v>
                </c:pt>
                <c:pt idx="18">
                  <c:v>Lietuva</c:v>
                </c:pt>
                <c:pt idx="19">
                  <c:v>Luksemburga</c:v>
                </c:pt>
              </c:strCache>
            </c:strRef>
          </c:cat>
          <c:val>
            <c:numRef>
              <c:f>'grafikam (2)'!$C$2:$C$21</c:f>
              <c:numCache>
                <c:formatCode>0</c:formatCode>
                <c:ptCount val="20"/>
                <c:pt idx="0">
                  <c:v>16.13165</c:v>
                </c:pt>
                <c:pt idx="1">
                  <c:v>15.269130000000001</c:v>
                </c:pt>
                <c:pt idx="2">
                  <c:v>14.09496</c:v>
                </c:pt>
                <c:pt idx="3">
                  <c:v>14.08724</c:v>
                </c:pt>
                <c:pt idx="4">
                  <c:v>13.99837</c:v>
                </c:pt>
                <c:pt idx="5">
                  <c:v>13.34324</c:v>
                </c:pt>
                <c:pt idx="6">
                  <c:v>12.22223</c:v>
                </c:pt>
                <c:pt idx="7">
                  <c:v>11.838501476190478</c:v>
                </c:pt>
                <c:pt idx="8">
                  <c:v>11.59624</c:v>
                </c:pt>
                <c:pt idx="9">
                  <c:v>11.594989999999999</c:v>
                </c:pt>
                <c:pt idx="10">
                  <c:v>11.57381</c:v>
                </c:pt>
                <c:pt idx="11">
                  <c:v>11.360290000000001</c:v>
                </c:pt>
                <c:pt idx="12">
                  <c:v>10.742039999999999</c:v>
                </c:pt>
                <c:pt idx="13">
                  <c:v>10.515779999999999</c:v>
                </c:pt>
                <c:pt idx="14">
                  <c:v>10.31231</c:v>
                </c:pt>
                <c:pt idx="15">
                  <c:v>10.270250000000001</c:v>
                </c:pt>
                <c:pt idx="16">
                  <c:v>9.8593799999999998</c:v>
                </c:pt>
                <c:pt idx="17">
                  <c:v>8.5116759999999996</c:v>
                </c:pt>
                <c:pt idx="18">
                  <c:v>7.5852149999999998</c:v>
                </c:pt>
                <c:pt idx="19">
                  <c:v>7.5527699999999998</c:v>
                </c:pt>
              </c:numCache>
            </c:numRef>
          </c:val>
          <c:extLst xmlns:c16r2="http://schemas.microsoft.com/office/drawing/2015/06/chart">
            <c:ext xmlns:c16="http://schemas.microsoft.com/office/drawing/2014/chart" uri="{C3380CC4-5D6E-409C-BE32-E72D297353CC}">
              <c16:uniqueId val="{00000016-319D-4C94-99B6-D2BDA989D46F}"/>
            </c:ext>
          </c:extLst>
        </c:ser>
        <c:dLbls>
          <c:showLegendKey val="0"/>
          <c:showVal val="0"/>
          <c:showCatName val="0"/>
          <c:showSerName val="0"/>
          <c:showPercent val="0"/>
          <c:showBubbleSize val="0"/>
        </c:dLbls>
        <c:gapWidth val="150"/>
        <c:axId val="154867816"/>
        <c:axId val="154864288"/>
      </c:barChart>
      <c:scatterChart>
        <c:scatterStyle val="lineMarker"/>
        <c:varyColors val="0"/>
        <c:ser>
          <c:idx val="0"/>
          <c:order val="0"/>
          <c:tx>
            <c:strRef>
              <c:f>'grafikam (2)'!$B$1</c:f>
              <c:strCache>
                <c:ptCount val="1"/>
                <c:pt idx="0">
                  <c:v>pamatskola (7.-9.kl.)</c:v>
                </c:pt>
              </c:strCache>
            </c:strRef>
          </c:tx>
          <c:spPr>
            <a:ln w="25400" cap="rnd">
              <a:noFill/>
              <a:round/>
            </a:ln>
            <a:effectLst/>
          </c:spPr>
          <c:marker>
            <c:symbol val="circle"/>
            <c:size val="5"/>
            <c:spPr>
              <a:noFill/>
              <a:ln w="9525">
                <a:solidFill>
                  <a:schemeClr val="accent5">
                    <a:shade val="76000"/>
                  </a:schemeClr>
                </a:solidFill>
              </a:ln>
              <a:effectLst/>
            </c:spPr>
          </c:marker>
          <c:dLbls>
            <c:dLbl>
              <c:idx val="2"/>
              <c:layout>
                <c:manualLayout>
                  <c:x val="-2.2887473460721869E-2"/>
                  <c:y val="-4.014049172102358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319D-4C94-99B6-D2BDA989D46F}"/>
                </c:ext>
                <c:ext xmlns:c15="http://schemas.microsoft.com/office/drawing/2012/chart" uri="{CE6537A1-D6FC-4f65-9D91-7224C49458BB}"/>
              </c:extLst>
            </c:dLbl>
            <c:dLbl>
              <c:idx val="3"/>
              <c:layout>
                <c:manualLayout>
                  <c:x val="-2.9851380042462846E-2"/>
                  <c:y val="-4.683057367452751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319D-4C94-99B6-D2BDA989D46F}"/>
                </c:ext>
                <c:ext xmlns:c15="http://schemas.microsoft.com/office/drawing/2012/chart" uri="{CE6537A1-D6FC-4f65-9D91-7224C49458BB}"/>
              </c:extLst>
            </c:dLbl>
            <c:dLbl>
              <c:idx val="7"/>
              <c:layout>
                <c:manualLayout>
                  <c:x val="-2.9723991507430998E-2"/>
                  <c:y val="5.686569660478341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9-319D-4C94-99B6-D2BDA989D46F}"/>
                </c:ext>
                <c:ext xmlns:c15="http://schemas.microsoft.com/office/drawing/2012/chart" uri="{CE6537A1-D6FC-4f65-9D91-7224C49458BB}"/>
              </c:extLst>
            </c:dLbl>
            <c:dLbl>
              <c:idx val="17"/>
              <c:layout>
                <c:manualLayout>
                  <c:x val="-4.2462845010617272E-3"/>
                  <c:y val="1.003512293025589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A-319D-4C94-99B6-D2BDA989D46F}"/>
                </c:ext>
                <c:ext xmlns:c15="http://schemas.microsoft.com/office/drawing/2012/chart" uri="{CE6537A1-D6FC-4f65-9D91-7224C49458BB}"/>
              </c:extLst>
            </c:dLbl>
            <c:dLbl>
              <c:idx val="18"/>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B-319D-4C94-99B6-D2BDA989D46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xVal>
            <c:strRef>
              <c:f>'grafikam (2)'!$A$2:$A$21</c:f>
              <c:strCache>
                <c:ptCount val="20"/>
                <c:pt idx="0">
                  <c:v>Nīderlande</c:v>
                </c:pt>
                <c:pt idx="1">
                  <c:v>Apvienotā Karaliste</c:v>
                </c:pt>
                <c:pt idx="2">
                  <c:v>Somija</c:v>
                </c:pt>
                <c:pt idx="3">
                  <c:v>Igaunija</c:v>
                </c:pt>
                <c:pt idx="4">
                  <c:v>Slovākija</c:v>
                </c:pt>
                <c:pt idx="5">
                  <c:v>Francija</c:v>
                </c:pt>
                <c:pt idx="6">
                  <c:v>Vācija</c:v>
                </c:pt>
                <c:pt idx="7">
                  <c:v>ES 23 vidējais</c:v>
                </c:pt>
                <c:pt idx="8">
                  <c:v>Spānija</c:v>
                </c:pt>
                <c:pt idx="9">
                  <c:v>Ungārija</c:v>
                </c:pt>
                <c:pt idx="10">
                  <c:v>Itālija</c:v>
                </c:pt>
                <c:pt idx="11">
                  <c:v>Čehija</c:v>
                </c:pt>
                <c:pt idx="12">
                  <c:v>Polija</c:v>
                </c:pt>
                <c:pt idx="13">
                  <c:v>Beļģija</c:v>
                </c:pt>
                <c:pt idx="14">
                  <c:v>Grieķija</c:v>
                </c:pt>
                <c:pt idx="15">
                  <c:v>Austrija</c:v>
                </c:pt>
                <c:pt idx="16">
                  <c:v>Dānija</c:v>
                </c:pt>
                <c:pt idx="17">
                  <c:v>Latvija</c:v>
                </c:pt>
                <c:pt idx="18">
                  <c:v>Lietuva</c:v>
                </c:pt>
                <c:pt idx="19">
                  <c:v>Luksemburga</c:v>
                </c:pt>
              </c:strCache>
            </c:strRef>
          </c:xVal>
          <c:yVal>
            <c:numRef>
              <c:f>'grafikam (2)'!$B$2:$B$21</c:f>
              <c:numCache>
                <c:formatCode>0</c:formatCode>
                <c:ptCount val="20"/>
                <c:pt idx="0">
                  <c:v>16.13165</c:v>
                </c:pt>
                <c:pt idx="1">
                  <c:v>15.85624</c:v>
                </c:pt>
                <c:pt idx="2">
                  <c:v>8.9212919999999993</c:v>
                </c:pt>
                <c:pt idx="3">
                  <c:v>10.12046</c:v>
                </c:pt>
                <c:pt idx="4">
                  <c:v>12.545859999999999</c:v>
                </c:pt>
                <c:pt idx="5">
                  <c:v>14.40211</c:v>
                </c:pt>
                <c:pt idx="6">
                  <c:v>13.02591</c:v>
                </c:pt>
                <c:pt idx="7">
                  <c:v>11.062101333333336</c:v>
                </c:pt>
                <c:pt idx="8">
                  <c:v>11.8787</c:v>
                </c:pt>
                <c:pt idx="9">
                  <c:v>11.000349999999999</c:v>
                </c:pt>
                <c:pt idx="10">
                  <c:v>10.965400000000001</c:v>
                </c:pt>
                <c:pt idx="11">
                  <c:v>12.44979</c:v>
                </c:pt>
                <c:pt idx="12">
                  <c:v>11.42902</c:v>
                </c:pt>
                <c:pt idx="13">
                  <c:v>8.8947059999999993</c:v>
                </c:pt>
                <c:pt idx="14">
                  <c:v>7.9275900000000004</c:v>
                </c:pt>
                <c:pt idx="15">
                  <c:v>8.4991369999999993</c:v>
                </c:pt>
                <c:pt idx="16">
                  <c:v>10.88076</c:v>
                </c:pt>
                <c:pt idx="17">
                  <c:v>8.5649239999999995</c:v>
                </c:pt>
                <c:pt idx="18">
                  <c:v>7.6347149999999999</c:v>
                </c:pt>
                <c:pt idx="19">
                  <c:v>10.7178</c:v>
                </c:pt>
              </c:numCache>
            </c:numRef>
          </c:yVal>
          <c:smooth val="0"/>
          <c:extLst xmlns:c16r2="http://schemas.microsoft.com/office/drawing/2015/06/chart">
            <c:ext xmlns:c16="http://schemas.microsoft.com/office/drawing/2014/chart" uri="{C3380CC4-5D6E-409C-BE32-E72D297353CC}">
              <c16:uniqueId val="{0000001C-319D-4C94-99B6-D2BDA989D46F}"/>
            </c:ext>
          </c:extLst>
        </c:ser>
        <c:dLbls>
          <c:showLegendKey val="0"/>
          <c:showVal val="0"/>
          <c:showCatName val="0"/>
          <c:showSerName val="0"/>
          <c:showPercent val="0"/>
          <c:showBubbleSize val="0"/>
        </c:dLbls>
        <c:axId val="154867816"/>
        <c:axId val="154864288"/>
      </c:scatterChart>
      <c:catAx>
        <c:axId val="154867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4864288"/>
        <c:crosses val="autoZero"/>
        <c:auto val="1"/>
        <c:lblAlgn val="ctr"/>
        <c:lblOffset val="100"/>
        <c:noMultiLvlLbl val="0"/>
      </c:catAx>
      <c:valAx>
        <c:axId val="154864288"/>
        <c:scaling>
          <c:orientation val="minMax"/>
          <c:max val="20"/>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4867816"/>
        <c:crosses val="autoZero"/>
        <c:crossBetween val="between"/>
      </c:valAx>
      <c:spPr>
        <a:noFill/>
        <a:ln>
          <a:noFill/>
        </a:ln>
        <a:effectLst/>
      </c:spPr>
    </c:plotArea>
    <c:legend>
      <c:legendPos val="b"/>
      <c:layout>
        <c:manualLayout>
          <c:xMode val="edge"/>
          <c:yMode val="edge"/>
          <c:x val="0.69834578798669278"/>
          <c:y val="0.10385983488140249"/>
          <c:w val="0.28059063476937995"/>
          <c:h val="8.928230433814940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'31082021'!$B$2</c:f>
              <c:strCache>
                <c:ptCount val="1"/>
                <c:pt idx="0">
                  <c:v>Vispārizglītojošā sākumskola</c:v>
                </c:pt>
              </c:strCache>
            </c:strRef>
          </c:tx>
          <c:spPr>
            <a:solidFill>
              <a:srgbClr val="68478D"/>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'31082021'!$A$3:$A$6</c:f>
              <c:strCache>
                <c:ptCount val="4"/>
                <c:pt idx="0">
                  <c:v>2018./2019.m.g.</c:v>
                </c:pt>
                <c:pt idx="1">
                  <c:v>2019./2020.m.g.</c:v>
                </c:pt>
                <c:pt idx="2">
                  <c:v>2020./2021.m.g.</c:v>
                </c:pt>
                <c:pt idx="3">
                  <c:v>2021./2022.m.g.*</c:v>
                </c:pt>
              </c:strCache>
            </c:strRef>
          </c:cat>
          <c:val>
            <c:numRef>
              <c:f>'31082021'!$B$3:$B$6</c:f>
              <c:numCache>
                <c:formatCode>General</c:formatCode>
                <c:ptCount val="4"/>
                <c:pt idx="0">
                  <c:v>50</c:v>
                </c:pt>
                <c:pt idx="1">
                  <c:v>45</c:v>
                </c:pt>
                <c:pt idx="2">
                  <c:v>42</c:v>
                </c:pt>
                <c:pt idx="3">
                  <c:v>41</c:v>
                </c:pt>
              </c:numCache>
            </c:numRef>
          </c:val>
        </c:ser>
        <c:ser>
          <c:idx val="1"/>
          <c:order val="1"/>
          <c:tx>
            <c:strRef>
              <c:f>'31082021'!$C$2</c:f>
              <c:strCache>
                <c:ptCount val="1"/>
                <c:pt idx="0">
                  <c:v>Vispārizglītojošā pamatskola</c:v>
                </c:pt>
              </c:strCache>
            </c:strRef>
          </c:tx>
          <c:spPr>
            <a:solidFill>
              <a:srgbClr val="D3CEDC"/>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'31082021'!$A$3:$A$6</c:f>
              <c:strCache>
                <c:ptCount val="4"/>
                <c:pt idx="0">
                  <c:v>2018./2019.m.g.</c:v>
                </c:pt>
                <c:pt idx="1">
                  <c:v>2019./2020.m.g.</c:v>
                </c:pt>
                <c:pt idx="2">
                  <c:v>2020./2021.m.g.</c:v>
                </c:pt>
                <c:pt idx="3">
                  <c:v>2021./2022.m.g.*</c:v>
                </c:pt>
              </c:strCache>
            </c:strRef>
          </c:cat>
          <c:val>
            <c:numRef>
              <c:f>'31082021'!$C$3:$C$6</c:f>
              <c:numCache>
                <c:formatCode>General</c:formatCode>
                <c:ptCount val="4"/>
                <c:pt idx="0">
                  <c:v>262</c:v>
                </c:pt>
                <c:pt idx="1">
                  <c:v>246</c:v>
                </c:pt>
                <c:pt idx="2">
                  <c:v>236</c:v>
                </c:pt>
                <c:pt idx="3">
                  <c:v>242</c:v>
                </c:pt>
              </c:numCache>
            </c:numRef>
          </c:val>
        </c:ser>
        <c:ser>
          <c:idx val="2"/>
          <c:order val="2"/>
          <c:tx>
            <c:strRef>
              <c:f>'31082021'!$D$2</c:f>
              <c:strCache>
                <c:ptCount val="1"/>
                <c:pt idx="0">
                  <c:v>Vispārizglītojošā vidusskola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'31082021'!$A$3:$A$6</c:f>
              <c:strCache>
                <c:ptCount val="4"/>
                <c:pt idx="0">
                  <c:v>2018./2019.m.g.</c:v>
                </c:pt>
                <c:pt idx="1">
                  <c:v>2019./2020.m.g.</c:v>
                </c:pt>
                <c:pt idx="2">
                  <c:v>2020./2021.m.g.</c:v>
                </c:pt>
                <c:pt idx="3">
                  <c:v>2021./2022.m.g.*</c:v>
                </c:pt>
              </c:strCache>
            </c:strRef>
          </c:cat>
          <c:val>
            <c:numRef>
              <c:f>'31082021'!$D$3:$D$6</c:f>
              <c:numCache>
                <c:formatCode>General</c:formatCode>
                <c:ptCount val="4"/>
                <c:pt idx="0">
                  <c:v>297</c:v>
                </c:pt>
                <c:pt idx="1">
                  <c:v>293</c:v>
                </c:pt>
                <c:pt idx="2">
                  <c:v>291</c:v>
                </c:pt>
                <c:pt idx="3">
                  <c:v>270</c:v>
                </c:pt>
              </c:numCache>
            </c:numRef>
          </c:val>
        </c:ser>
        <c:dLbls>
          <c:showLegendKey val="0"/>
          <c:showVal val="0"/>
          <c:showCatName val="0"/>
          <c:showSerName val="0"/>
          <c:showPercent val="0"/>
          <c:showBubbleSize val="0"/>
        </c:dLbls>
        <c:gapWidth val="150"/>
        <c:overlap val="100"/>
        <c:axId val="377381336"/>
        <c:axId val="376457640"/>
      </c:barChart>
      <c:catAx>
        <c:axId val="37738133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76457640"/>
        <c:crosses val="autoZero"/>
        <c:auto val="1"/>
        <c:lblAlgn val="ctr"/>
        <c:lblOffset val="100"/>
        <c:noMultiLvlLbl val="0"/>
      </c:catAx>
      <c:valAx>
        <c:axId val="376457640"/>
        <c:scaling>
          <c:orientation val="minMax"/>
        </c:scaling>
        <c:delete val="0"/>
        <c:axPos val="t"/>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77381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8">
  <a:schemeClr val="accent5"/>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881CF-62E7-4F20-8FD2-3C286C724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7561</Words>
  <Characters>43099</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Modra Jansone</dc:creator>
  <cp:keywords/>
  <dc:description/>
  <cp:lastModifiedBy>Modra Jansone</cp:lastModifiedBy>
  <cp:revision>4</cp:revision>
  <dcterms:created xsi:type="dcterms:W3CDTF">2021-08-31T10:01:00Z</dcterms:created>
  <dcterms:modified xsi:type="dcterms:W3CDTF">2021-09-01T07:43:00Z</dcterms:modified>
</cp:coreProperties>
</file>