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B07EE9" w:rsidP="00B07EE9">
      <w:pPr>
        <w:pStyle w:val="Title"/>
        <w:rPr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GB" w:eastAsia="en-GB"/>
        </w:rPr>
        <w:drawing>
          <wp:inline distT="0" distB="0" distL="0" distR="0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GB" w:eastAsia="en-GB"/>
        </w:rPr>
        <w:drawing>
          <wp:inline distT="0" distB="0" distL="0" distR="0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r w:rsidRPr="00B07EE9">
        <w:rPr>
          <w:b/>
          <w:i/>
          <w:color w:val="4F6228" w:themeColor="accent3" w:themeShade="80"/>
          <w:sz w:val="28"/>
        </w:rPr>
        <w:t>Gājējam draudzīgs / Hiker-friendly</w:t>
      </w:r>
      <w:r w:rsidRPr="00B07EE9">
        <w:rPr>
          <w:b/>
          <w:color w:val="4F6228" w:themeColor="accent3" w:themeShade="80"/>
          <w:sz w:val="28"/>
        </w:rPr>
        <w:t xml:space="preserve"> zīmes</w:t>
      </w:r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:rsidR="001C1760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 w:rsidRPr="00B07EE9">
        <w:rPr>
          <w:b/>
          <w:color w:val="4F6228" w:themeColor="accent3" w:themeShade="80"/>
          <w:sz w:val="28"/>
          <w:szCs w:val="24"/>
          <w:lang w:val="lv-LV"/>
        </w:rPr>
        <w:t>tūrisma pakalpojum</w:t>
      </w:r>
      <w:r w:rsidR="006F0BF3">
        <w:rPr>
          <w:b/>
          <w:color w:val="4F6228" w:themeColor="accent3" w:themeShade="80"/>
          <w:sz w:val="28"/>
          <w:szCs w:val="24"/>
          <w:lang w:val="lv-LV"/>
        </w:rPr>
        <w:t>u</w:t>
      </w:r>
      <w:r w:rsidRPr="00B07EE9">
        <w:rPr>
          <w:b/>
          <w:color w:val="4F6228" w:themeColor="accent3" w:themeShade="80"/>
          <w:sz w:val="28"/>
          <w:szCs w:val="24"/>
          <w:lang w:val="lv-LV"/>
        </w:rPr>
        <w:t xml:space="preserve"> sniedzējam</w:t>
      </w:r>
    </w:p>
    <w:p w:rsidR="00415466" w:rsidRDefault="00415466" w:rsidP="00415466">
      <w:pPr>
        <w:rPr>
          <w:sz w:val="26"/>
          <w:szCs w:val="26"/>
          <w:lang w:val="lv-LV"/>
        </w:rPr>
      </w:pPr>
    </w:p>
    <w:p w:rsidR="00415466" w:rsidRPr="00415466" w:rsidRDefault="00415466" w:rsidP="00415466">
      <w:pPr>
        <w:rPr>
          <w:color w:val="4F6228" w:themeColor="accent3" w:themeShade="80"/>
          <w:sz w:val="28"/>
          <w:szCs w:val="24"/>
          <w:lang w:val="lv-LV"/>
        </w:rPr>
      </w:pPr>
      <w:r w:rsidRPr="00415466">
        <w:rPr>
          <w:sz w:val="26"/>
          <w:szCs w:val="26"/>
          <w:lang w:val="lv-LV"/>
        </w:rPr>
        <w:t>Zīme tiek piešķirta privātie</w:t>
      </w:r>
      <w:r>
        <w:rPr>
          <w:sz w:val="26"/>
          <w:szCs w:val="26"/>
          <w:lang w:val="lv-LV"/>
        </w:rPr>
        <w:t>m</w:t>
      </w:r>
      <w:r w:rsidRPr="00415466">
        <w:rPr>
          <w:sz w:val="26"/>
          <w:szCs w:val="26"/>
          <w:lang w:val="lv-LV"/>
        </w:rPr>
        <w:t xml:space="preserve"> uzņēmējiem</w:t>
      </w:r>
      <w:r w:rsidR="0040761B">
        <w:rPr>
          <w:sz w:val="26"/>
          <w:szCs w:val="26"/>
          <w:lang w:val="lv-LV"/>
        </w:rPr>
        <w:t>, ka sniedz</w:t>
      </w:r>
      <w:r>
        <w:rPr>
          <w:sz w:val="26"/>
          <w:szCs w:val="26"/>
          <w:lang w:val="lv-LV"/>
        </w:rPr>
        <w:t xml:space="preserve"> gāj</w:t>
      </w:r>
      <w:r w:rsidR="0040761B">
        <w:rPr>
          <w:sz w:val="26"/>
          <w:szCs w:val="26"/>
          <w:lang w:val="lv-LV"/>
        </w:rPr>
        <w:t>ē</w:t>
      </w:r>
      <w:r>
        <w:rPr>
          <w:sz w:val="26"/>
          <w:szCs w:val="26"/>
          <w:lang w:val="lv-LV"/>
        </w:rPr>
        <w:t>j</w:t>
      </w:r>
      <w:r w:rsidR="0040761B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 xml:space="preserve">m </w:t>
      </w:r>
      <w:r w:rsidR="0040761B">
        <w:rPr>
          <w:sz w:val="26"/>
          <w:szCs w:val="26"/>
          <w:lang w:val="lv-LV"/>
        </w:rPr>
        <w:t>nepieciešamu</w:t>
      </w:r>
      <w:r w:rsidRPr="00415466">
        <w:rPr>
          <w:sz w:val="26"/>
          <w:szCs w:val="26"/>
          <w:lang w:val="lv-LV"/>
        </w:rPr>
        <w:t xml:space="preserve"> pakalpojumu</w:t>
      </w:r>
      <w:r w:rsidR="0040761B"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 (piem. Veikals, ēdināšana, transports u.c.)</w:t>
      </w:r>
      <w:r w:rsidR="005666CC">
        <w:rPr>
          <w:sz w:val="26"/>
          <w:szCs w:val="26"/>
          <w:lang w:val="lv-LV"/>
        </w:rPr>
        <w:t>.</w:t>
      </w:r>
    </w:p>
    <w:p w:rsidR="005C43AA" w:rsidRPr="00803CC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:rsidTr="00873EE2">
        <w:tc>
          <w:tcPr>
            <w:tcW w:w="2977" w:type="dxa"/>
            <w:gridSpan w:val="2"/>
          </w:tcPr>
          <w:p w:rsidR="00415466" w:rsidRDefault="00415466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  <w:p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873EE2">
        <w:tc>
          <w:tcPr>
            <w:tcW w:w="2977" w:type="dxa"/>
            <w:gridSpan w:val="2"/>
          </w:tcPr>
          <w:p w:rsidR="005666CC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  <w:p w:rsidR="005C43AA" w:rsidRPr="00803CCA" w:rsidRDefault="005666CC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B4566C">
              <w:rPr>
                <w:b/>
                <w:sz w:val="26"/>
                <w:szCs w:val="26"/>
                <w:lang w:val="lv-LV"/>
              </w:rPr>
              <w:t>Gājējam sniegtais           pakalpojums</w:t>
            </w:r>
            <w:r w:rsidR="00B4566C" w:rsidRPr="00B4566C">
              <w:rPr>
                <w:b/>
                <w:sz w:val="26"/>
                <w:szCs w:val="26"/>
                <w:lang w:val="lv-LV"/>
              </w:rPr>
              <w:t>:</w:t>
            </w:r>
            <w:r w:rsidR="00B07EE9"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666CC" w:rsidRPr="00803CCA" w:rsidTr="00873EE2">
        <w:tc>
          <w:tcPr>
            <w:tcW w:w="2977" w:type="dxa"/>
            <w:gridSpan w:val="2"/>
          </w:tcPr>
          <w:p w:rsidR="005666CC" w:rsidRPr="00803CCA" w:rsidRDefault="005666CC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666CC" w:rsidRPr="00803CCA" w:rsidRDefault="005666CC" w:rsidP="00B4566C">
            <w:pPr>
              <w:pStyle w:val="BodyText2"/>
              <w:spacing w:after="0" w:line="240" w:lineRule="auto"/>
              <w:ind w:left="-249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873EE2">
        <w:tc>
          <w:tcPr>
            <w:tcW w:w="2836" w:type="dxa"/>
          </w:tcPr>
          <w:p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:rsidTr="00873EE2">
        <w:tc>
          <w:tcPr>
            <w:tcW w:w="2836" w:type="dxa"/>
          </w:tcPr>
          <w:p w:rsidR="00873EE2" w:rsidRPr="00803CCA" w:rsidRDefault="00873EE2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873EE2" w:rsidRPr="00803CCA" w:rsidRDefault="00873EE2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:rsidTr="00873EE2">
        <w:tc>
          <w:tcPr>
            <w:tcW w:w="2836" w:type="dxa"/>
          </w:tcPr>
          <w:p w:rsidR="00873EE2" w:rsidRDefault="00873EE2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bottom"/>
          </w:tcPr>
          <w:p w:rsidR="00873EE2" w:rsidRPr="00803CCA" w:rsidRDefault="00873EE2" w:rsidP="00873EE2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E-pasts:________________________________________</w:t>
            </w:r>
          </w:p>
        </w:tc>
      </w:tr>
      <w:tr w:rsidR="00E00E95" w:rsidRPr="00803CCA" w:rsidTr="00873EE2">
        <w:tc>
          <w:tcPr>
            <w:tcW w:w="2836" w:type="dxa"/>
          </w:tcPr>
          <w:p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873EE2">
              <w:rPr>
                <w:b/>
                <w:sz w:val="26"/>
                <w:szCs w:val="26"/>
                <w:lang w:val="lv-LV"/>
              </w:rPr>
              <w:t>____________</w:t>
            </w:r>
          </w:p>
        </w:tc>
        <w:tc>
          <w:tcPr>
            <w:tcW w:w="6378" w:type="dxa"/>
            <w:gridSpan w:val="2"/>
          </w:tcPr>
          <w:p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873EE2">
        <w:tc>
          <w:tcPr>
            <w:tcW w:w="2977" w:type="dxa"/>
            <w:gridSpan w:val="2"/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</w:tblGrid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E05B5B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9F4141" w:rsidRDefault="00251BFC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Pārgājienu tematika tiek iekļauta pakalpojumu sniedzēja reklāmas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materiālos, ir norādītas saites/atsauces uz apkaimes pārgājienu maršrutiem.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Redzamā vietā ir novietota pilnvērtīga informācija par maršrutu (piem.,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kopēja maršruta karte (ja tā ir garā distance) vai konkrētā posma/takas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karte, kurai vēlams ietvert šādu informāciju: garums, grūtības pakāpe,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aptuvenais iešanas ilgums, ceļa segums, sākuma un finiša vietas,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šķēršļi, bīstamās vietas un alternatīvie posmi u.c., un tajā pieejamajiem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pakalpojumiem, piem., naktsmītnes, ēdināšanas vietas, veikali, atpūtas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vietas, labierīcības, tūrisma informācijas centri/punkti).</w:t>
            </w:r>
          </w:p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lastRenderedPageBreak/>
              <w:t xml:space="preserve">P.S. </w:t>
            </w:r>
            <w:r w:rsidR="00DD2403">
              <w:rPr>
                <w:sz w:val="24"/>
                <w:szCs w:val="24"/>
                <w:lang w:val="lv-LV"/>
              </w:rPr>
              <w:t>J</w:t>
            </w:r>
            <w:r w:rsidRPr="006F0BF3">
              <w:rPr>
                <w:sz w:val="24"/>
                <w:szCs w:val="24"/>
                <w:lang w:val="lv-LV"/>
              </w:rPr>
              <w:t>a kāda no takām ved cauri aizsargājamai teritorijai, kur var būt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dažādi ierobežojumi, par to vajadzētu būt pieejamai informācijai (gan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par to, ka tā ir aizsargājama teritorija, gan par to, ka ir ierobežojumi).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Informācija par maršrutiem un pakalpojumiem pieejama vismaz vienā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starptautiskā valodā (ieteicams angļu valodā).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var sazināties kādā svešvalodā.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ir zinošs ne tikai par maršrutiem apkārtnē, bet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arī par vietējo apkaimi, interesantiem apskates objektiem u.c. tūrisma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informāciju.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Ja īpašumā atrodas suns, tam jābūt ierobežotam noteiktā teritorijā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un tas neapdraud tūristus (vēlams novietot zīmi, ka teritorijā ir suns).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to, kur vērsties dažādu veselības problēmu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gadījumā (tuvākā medicīnas iestāde, tuvākā aptieka u.tml.).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pirmās palīdzības aptieciņa</w:t>
            </w:r>
            <w:r w:rsidR="00415466">
              <w:rPr>
                <w:sz w:val="24"/>
                <w:szCs w:val="24"/>
                <w:lang w:val="lv-LV"/>
              </w:rPr>
              <w:t xml:space="preserve"> (*</w:t>
            </w:r>
            <w:r w:rsidR="00B4566C">
              <w:rPr>
                <w:sz w:val="24"/>
                <w:szCs w:val="24"/>
                <w:lang w:val="lv-LV"/>
              </w:rPr>
              <w:t>*</w:t>
            </w:r>
            <w:r w:rsidR="00415466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sabiedriskā transporta iespējām.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Wi-fi internets.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dzeramais ūdens vai iespēja iegādāties vai uzpildīt jau esošās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ūdens pudeles.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uzlādēt elektroierīces.</w:t>
            </w:r>
          </w:p>
        </w:tc>
        <w:tc>
          <w:tcPr>
            <w:tcW w:w="1977" w:type="dxa"/>
          </w:tcPr>
          <w:p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notīrīt apavus (īpašas birstes vai citi risinājumi pie ieejas).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9F4141">
        <w:tc>
          <w:tcPr>
            <w:tcW w:w="7715" w:type="dxa"/>
            <w:gridSpan w:val="3"/>
          </w:tcPr>
          <w:p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:rsidTr="009F4141">
        <w:tc>
          <w:tcPr>
            <w:tcW w:w="7715" w:type="dxa"/>
            <w:gridSpan w:val="3"/>
          </w:tcPr>
          <w:p w:rsidR="009F4141" w:rsidRDefault="0082143A" w:rsidP="00E00E95">
            <w:pPr>
              <w:jc w:val="right"/>
              <w:rPr>
                <w:sz w:val="24"/>
                <w:szCs w:val="24"/>
                <w:lang w:val="lv-LV"/>
              </w:rPr>
            </w:pPr>
            <w:r w:rsidRPr="0082143A">
              <w:rPr>
                <w:bCs/>
                <w:sz w:val="24"/>
                <w:szCs w:val="24"/>
                <w:lang w:val="lv-LV"/>
              </w:rPr>
              <w:t>BŪTISK</w:t>
            </w:r>
            <w:r>
              <w:rPr>
                <w:bCs/>
                <w:sz w:val="24"/>
                <w:szCs w:val="24"/>
                <w:lang w:val="lv-LV"/>
              </w:rPr>
              <w:t>IE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F4141">
              <w:rPr>
                <w:sz w:val="24"/>
                <w:szCs w:val="24"/>
                <w:lang w:val="lv-LV"/>
              </w:rPr>
              <w:t xml:space="preserve">KRITĒRIJI*: </w:t>
            </w:r>
          </w:p>
        </w:tc>
        <w:tc>
          <w:tcPr>
            <w:tcW w:w="2967" w:type="dxa"/>
            <w:gridSpan w:val="3"/>
          </w:tcPr>
          <w:p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:rsidR="006F0BF3" w:rsidRDefault="00E00E95" w:rsidP="00717AAC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9.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:rsidR="00E00E95" w:rsidRDefault="00B4566C" w:rsidP="00B4566C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**Aptieciņas rekomendētais saturs (no glabsim.lv, dibinātājs Roberts Fūrmanis reanimotologs, anesteziologs) -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 xml:space="preserve">2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folija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 xml:space="preserve"> segas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10 marles saites rullīši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20 cimdi; leikoplasta rullis; p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ārsienamie materiāli (marles saites rullīši, marles salvetes), no vates lietošanas ir jāizvairās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p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lāksteri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ū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deņraža pārskābe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WaterJel – labs pirmās palīdzības līdzeklis apdeguma gadījumā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t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emperatūru pazeminoši līdzekļi (ibuprofēns, paraceptamols)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Tavegils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caurejas līdzekļi (Smecta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 xml:space="preserve"> + Rehidrons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); termometrs; š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ķēres (vēlams no automašīnas PP aptieciņas, kuras netraumē ādu)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.</w:t>
      </w:r>
    </w:p>
    <w:p w:rsidR="00B4566C" w:rsidRPr="00B4566C" w:rsidRDefault="00B4566C" w:rsidP="00B4566C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p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03CCA">
        <w:rPr>
          <w:lang w:val="lv-LV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:rsidR="001F7841" w:rsidRDefault="001F7841" w:rsidP="00913F83">
      <w:pPr>
        <w:spacing w:before="60" w:after="60" w:line="480" w:lineRule="auto"/>
        <w:rPr>
          <w:lang w:val="lv-LV"/>
        </w:rPr>
      </w:pPr>
    </w:p>
    <w:p w:rsidR="001F7841" w:rsidRDefault="001F7841" w:rsidP="00913F83">
      <w:pPr>
        <w:spacing w:before="60" w:after="60" w:line="480" w:lineRule="auto"/>
        <w:rPr>
          <w:lang w:val="lv-LV"/>
        </w:rPr>
      </w:pPr>
      <w:bookmarkStart w:id="0" w:name="_GoBack"/>
      <w:bookmarkEnd w:id="0"/>
    </w:p>
    <w:p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01" w:rsidRDefault="00297401" w:rsidP="001C1760">
      <w:r>
        <w:separator/>
      </w:r>
    </w:p>
  </w:endnote>
  <w:endnote w:type="continuationSeparator" w:id="0">
    <w:p w:rsidR="00297401" w:rsidRDefault="00297401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5D770D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B456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01" w:rsidRDefault="00297401" w:rsidP="001C1760">
      <w:r>
        <w:separator/>
      </w:r>
    </w:p>
  </w:footnote>
  <w:footnote w:type="continuationSeparator" w:id="0">
    <w:p w:rsidR="00297401" w:rsidRDefault="00297401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77ED8"/>
    <w:multiLevelType w:val="hybridMultilevel"/>
    <w:tmpl w:val="40402B0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22"/>
  </w:num>
  <w:num w:numId="9">
    <w:abstractNumId w:val="17"/>
  </w:num>
  <w:num w:numId="10">
    <w:abstractNumId w:val="7"/>
  </w:num>
  <w:num w:numId="11">
    <w:abstractNumId w:val="0"/>
  </w:num>
  <w:num w:numId="12">
    <w:abstractNumId w:val="20"/>
  </w:num>
  <w:num w:numId="13">
    <w:abstractNumId w:val="21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51BFC"/>
    <w:rsid w:val="00262C2F"/>
    <w:rsid w:val="00272FF3"/>
    <w:rsid w:val="00281B8E"/>
    <w:rsid w:val="00297401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0761B"/>
    <w:rsid w:val="00414048"/>
    <w:rsid w:val="00415466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A61EF"/>
    <w:rsid w:val="004C63F5"/>
    <w:rsid w:val="004D4008"/>
    <w:rsid w:val="004E46A1"/>
    <w:rsid w:val="004E5018"/>
    <w:rsid w:val="004F6682"/>
    <w:rsid w:val="004F68C6"/>
    <w:rsid w:val="00506B5C"/>
    <w:rsid w:val="00520F31"/>
    <w:rsid w:val="00524327"/>
    <w:rsid w:val="00561F64"/>
    <w:rsid w:val="005666CC"/>
    <w:rsid w:val="00582966"/>
    <w:rsid w:val="0059105B"/>
    <w:rsid w:val="005C39BF"/>
    <w:rsid w:val="005C43AA"/>
    <w:rsid w:val="005D770D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46A6"/>
    <w:rsid w:val="006F0BF3"/>
    <w:rsid w:val="006F1B10"/>
    <w:rsid w:val="00717AAC"/>
    <w:rsid w:val="00731363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143A"/>
    <w:rsid w:val="00834CED"/>
    <w:rsid w:val="00871C95"/>
    <w:rsid w:val="00873EE2"/>
    <w:rsid w:val="00876791"/>
    <w:rsid w:val="0089469B"/>
    <w:rsid w:val="008A4700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9302A"/>
    <w:rsid w:val="009A347C"/>
    <w:rsid w:val="009A6780"/>
    <w:rsid w:val="009E63E0"/>
    <w:rsid w:val="009F4141"/>
    <w:rsid w:val="009F4711"/>
    <w:rsid w:val="00A1065A"/>
    <w:rsid w:val="00A1317C"/>
    <w:rsid w:val="00A22102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4566C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D2403"/>
    <w:rsid w:val="00DE371E"/>
    <w:rsid w:val="00DF5078"/>
    <w:rsid w:val="00DF6104"/>
    <w:rsid w:val="00E00E95"/>
    <w:rsid w:val="00E01782"/>
    <w:rsid w:val="00E024D5"/>
    <w:rsid w:val="00E04B5D"/>
    <w:rsid w:val="00E05B5B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318DE"/>
    <w:rsid w:val="00F319EA"/>
    <w:rsid w:val="00F56A2C"/>
    <w:rsid w:val="00F8325B"/>
    <w:rsid w:val="00F83366"/>
    <w:rsid w:val="00F837B3"/>
    <w:rsid w:val="00F90257"/>
    <w:rsid w:val="00F9026B"/>
    <w:rsid w:val="00FB4654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9847-6EFA-41AF-A53C-B4440628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Toms Ziemelis</cp:lastModifiedBy>
  <cp:revision>2</cp:revision>
  <dcterms:created xsi:type="dcterms:W3CDTF">2022-04-28T13:27:00Z</dcterms:created>
  <dcterms:modified xsi:type="dcterms:W3CDTF">2022-04-28T13:27:00Z</dcterms:modified>
</cp:coreProperties>
</file>